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51" w:rsidRPr="00D1123E" w:rsidRDefault="00601540" w:rsidP="00D1123E">
      <w:pPr>
        <w:pStyle w:val="obiekt"/>
      </w:pPr>
      <w:r>
        <w:pict>
          <v:shapetype id="_x0000_t202" coordsize="21600,21600" o:spt="202" path="m,l,21600r21600,l21600,xe">
            <v:stroke joinstyle="miter"/>
            <v:path gradientshapeok="t" o:connecttype="rect"/>
          </v:shapetype>
          <v:shape id="Text Box 2" o:spid="_x0000_s1026" type="#_x0000_t202" style="position:absolute;margin-left:108.9pt;margin-top:-10.85pt;width:377.7pt;height:233.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Q2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" stroked="f">
            <v:textbox>
              <w:txbxContent>
                <w:p w:rsidR="00F2132F" w:rsidRPr="00BC1007" w:rsidRDefault="00F2132F" w:rsidP="00101E51">
                  <w:pPr>
                    <w:spacing w:after="120"/>
                    <w:jc w:val="center"/>
                    <w:rPr>
                      <w:rFonts w:ascii="Arial" w:hAnsi="Arial" w:cs="Arial"/>
                      <w:b/>
                      <w:color w:val="4A442A" w:themeColor="background2" w:themeShade="40"/>
                      <w:sz w:val="44"/>
                      <w:szCs w:val="44"/>
                    </w:rPr>
                  </w:pPr>
                </w:p>
                <w:p w:rsidR="00F2132F" w:rsidRPr="00BC1007" w:rsidRDefault="00F2132F" w:rsidP="00101E51">
                  <w:pPr>
                    <w:spacing w:after="120"/>
                    <w:jc w:val="center"/>
                    <w:rPr>
                      <w:rFonts w:ascii="Arial" w:hAnsi="Arial" w:cs="Arial"/>
                      <w:b/>
                      <w:color w:val="948A54" w:themeColor="background2" w:themeShade="80"/>
                      <w:sz w:val="44"/>
                      <w:szCs w:val="44"/>
                    </w:rPr>
                  </w:pPr>
                </w:p>
                <w:p w:rsidR="00F2132F" w:rsidRPr="00BC1007" w:rsidRDefault="00F2132F" w:rsidP="00101E51">
                  <w:pPr>
                    <w:spacing w:after="120"/>
                    <w:jc w:val="center"/>
                    <w:rPr>
                      <w:rFonts w:ascii="Arial" w:hAnsi="Arial" w:cs="Arial"/>
                      <w:b/>
                      <w:color w:val="4A442A" w:themeColor="background2" w:themeShade="40"/>
                      <w:sz w:val="44"/>
                      <w:szCs w:val="44"/>
                    </w:rPr>
                  </w:pPr>
                </w:p>
                <w:p w:rsidR="00D1123E" w:rsidRPr="00F542BE" w:rsidRDefault="00D1123E" w:rsidP="00D1123E">
                  <w:pPr>
                    <w:autoSpaceDE w:val="0"/>
                    <w:autoSpaceDN w:val="0"/>
                    <w:adjustRightInd w:val="0"/>
                    <w:jc w:val="center"/>
                    <w:rPr>
                      <w:rFonts w:ascii="Arial-BoldMT" w:eastAsiaTheme="minorHAnsi" w:hAnsi="Arial-BoldMT" w:cs="Arial-BoldMT"/>
                      <w:b/>
                      <w:bCs/>
                      <w:sz w:val="48"/>
                      <w:szCs w:val="48"/>
                      <w:lang w:eastAsia="en-US"/>
                    </w:rPr>
                  </w:pPr>
                  <w:r w:rsidRPr="00F542BE">
                    <w:rPr>
                      <w:rFonts w:ascii="Arial-BoldMT" w:eastAsiaTheme="minorHAnsi" w:hAnsi="Arial-BoldMT" w:cs="Arial-BoldMT"/>
                      <w:b/>
                      <w:bCs/>
                      <w:sz w:val="48"/>
                      <w:szCs w:val="48"/>
                      <w:lang w:eastAsia="en-US"/>
                    </w:rPr>
                    <w:t>Prospekt informacyjny</w:t>
                  </w:r>
                </w:p>
                <w:p w:rsidR="00D1123E" w:rsidRPr="00F542BE" w:rsidRDefault="00D1123E" w:rsidP="00F20D9F">
                  <w:pPr>
                    <w:autoSpaceDE w:val="0"/>
                    <w:autoSpaceDN w:val="0"/>
                    <w:adjustRightInd w:val="0"/>
                    <w:jc w:val="center"/>
                    <w:rPr>
                      <w:rFonts w:ascii="Arial-BoldMT" w:eastAsiaTheme="minorHAnsi" w:hAnsi="Arial-BoldMT" w:cs="Arial-BoldMT"/>
                      <w:b/>
                      <w:bCs/>
                      <w:sz w:val="44"/>
                      <w:szCs w:val="44"/>
                      <w:lang w:eastAsia="en-US"/>
                    </w:rPr>
                  </w:pPr>
                  <w:r w:rsidRPr="00F542BE">
                    <w:rPr>
                      <w:rFonts w:ascii="Arial-BoldMT" w:eastAsiaTheme="minorHAnsi" w:hAnsi="Arial-BoldMT" w:cs="Arial-BoldMT"/>
                      <w:b/>
                      <w:bCs/>
                      <w:sz w:val="44"/>
                      <w:szCs w:val="44"/>
                      <w:lang w:eastAsia="en-US"/>
                    </w:rPr>
                    <w:t>dla projektu deweloperskiego</w:t>
                  </w:r>
                </w:p>
                <w:p w:rsidR="00DF73A9" w:rsidRPr="00F542BE" w:rsidRDefault="00B76539" w:rsidP="00B76539">
                  <w:pPr>
                    <w:autoSpaceDE w:val="0"/>
                    <w:autoSpaceDN w:val="0"/>
                    <w:adjustRightInd w:val="0"/>
                    <w:rPr>
                      <w:rFonts w:ascii="Arial-BoldItalicMT" w:eastAsiaTheme="minorHAnsi" w:hAnsi="Arial-BoldItalicMT" w:cs="Arial-BoldItalicMT"/>
                      <w:b/>
                      <w:bCs/>
                      <w:i/>
                      <w:iCs/>
                      <w:sz w:val="44"/>
                      <w:szCs w:val="44"/>
                      <w:lang w:eastAsia="en-US"/>
                    </w:rPr>
                  </w:pPr>
                  <w:r w:rsidRPr="00F542BE">
                    <w:rPr>
                      <w:rFonts w:ascii="Arial-BoldItalicMT" w:eastAsiaTheme="minorHAnsi" w:hAnsi="Arial-BoldItalicMT" w:cs="Arial-BoldItalicMT"/>
                      <w:b/>
                      <w:bCs/>
                      <w:i/>
                      <w:iCs/>
                      <w:sz w:val="44"/>
                      <w:szCs w:val="44"/>
                      <w:lang w:eastAsia="en-US"/>
                    </w:rPr>
                    <w:t xml:space="preserve">    DOBROWOLSKIEGO 24  I</w:t>
                  </w:r>
                  <w:r w:rsidR="00E20090">
                    <w:rPr>
                      <w:rFonts w:ascii="Arial-BoldItalicMT" w:eastAsiaTheme="minorHAnsi" w:hAnsi="Arial-BoldItalicMT" w:cs="Arial-BoldItalicMT"/>
                      <w:b/>
                      <w:bCs/>
                      <w:i/>
                      <w:iCs/>
                      <w:sz w:val="44"/>
                      <w:szCs w:val="44"/>
                      <w:lang w:eastAsia="en-US"/>
                    </w:rPr>
                    <w:t>I</w:t>
                  </w:r>
                  <w:r w:rsidR="007033BB" w:rsidRPr="00F542BE">
                    <w:rPr>
                      <w:rFonts w:ascii="Arial-BoldItalicMT" w:eastAsiaTheme="minorHAnsi" w:hAnsi="Arial-BoldItalicMT" w:cs="Arial-BoldItalicMT"/>
                      <w:b/>
                      <w:bCs/>
                      <w:i/>
                      <w:iCs/>
                      <w:sz w:val="44"/>
                      <w:szCs w:val="44"/>
                      <w:lang w:eastAsia="en-US"/>
                    </w:rPr>
                    <w:t xml:space="preserve"> etap</w:t>
                  </w:r>
                </w:p>
                <w:p w:rsidR="00D1123E" w:rsidRPr="00F542BE" w:rsidRDefault="00D1123E" w:rsidP="00D1123E">
                  <w:pPr>
                    <w:autoSpaceDE w:val="0"/>
                    <w:autoSpaceDN w:val="0"/>
                    <w:adjustRightInd w:val="0"/>
                    <w:jc w:val="center"/>
                    <w:rPr>
                      <w:rFonts w:ascii="Arial-BoldMT" w:eastAsiaTheme="minorHAnsi" w:hAnsi="Arial-BoldMT" w:cs="Arial-BoldMT"/>
                      <w:b/>
                      <w:bCs/>
                      <w:sz w:val="44"/>
                      <w:szCs w:val="44"/>
                      <w:lang w:eastAsia="en-US"/>
                    </w:rPr>
                  </w:pPr>
                  <w:r w:rsidRPr="00F542BE">
                    <w:rPr>
                      <w:rFonts w:ascii="Arial-BoldMT" w:eastAsiaTheme="minorHAnsi" w:hAnsi="Arial-BoldMT" w:cs="Arial-BoldMT"/>
                      <w:b/>
                      <w:bCs/>
                      <w:sz w:val="44"/>
                      <w:szCs w:val="44"/>
                      <w:lang w:eastAsia="en-US"/>
                    </w:rPr>
                    <w:t>zlokalizowanego</w:t>
                  </w:r>
                </w:p>
                <w:p w:rsidR="00F2132F" w:rsidRPr="00F542BE" w:rsidRDefault="00B76539" w:rsidP="00B76539">
                  <w:pPr>
                    <w:spacing w:after="120"/>
                    <w:rPr>
                      <w:rFonts w:ascii="Arial" w:hAnsi="Arial" w:cs="Arial"/>
                      <w:b/>
                      <w:sz w:val="44"/>
                      <w:szCs w:val="44"/>
                    </w:rPr>
                  </w:pPr>
                  <w:r w:rsidRPr="00F542BE">
                    <w:rPr>
                      <w:rFonts w:ascii="Arial-BoldMT" w:eastAsiaTheme="minorHAnsi" w:hAnsi="Arial-BoldMT" w:cs="Arial-BoldMT"/>
                      <w:b/>
                      <w:bCs/>
                      <w:sz w:val="44"/>
                      <w:szCs w:val="44"/>
                      <w:lang w:eastAsia="en-US"/>
                    </w:rPr>
                    <w:t xml:space="preserve">                  w  Krakowie </w:t>
                  </w: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Default="00F2132F" w:rsidP="00B52B63">
                  <w:pPr>
                    <w:spacing w:after="120"/>
                    <w:rPr>
                      <w:rFonts w:ascii="Arial" w:hAnsi="Arial" w:cs="Arial"/>
                      <w:b/>
                      <w:color w:val="ED008C"/>
                      <w:sz w:val="44"/>
                      <w:szCs w:val="44"/>
                    </w:rPr>
                  </w:pPr>
                </w:p>
                <w:p w:rsidR="00F2132F" w:rsidRPr="00274438" w:rsidRDefault="00F2132F" w:rsidP="00B52B63">
                  <w:pPr>
                    <w:spacing w:after="120"/>
                    <w:rPr>
                      <w:rFonts w:ascii="Arial" w:hAnsi="Arial" w:cs="Arial"/>
                      <w:b/>
                      <w:color w:val="ED008C"/>
                      <w:sz w:val="44"/>
                      <w:szCs w:val="44"/>
                    </w:rPr>
                  </w:pPr>
                </w:p>
                <w:p w:rsidR="00F2132F" w:rsidRPr="00B52B63" w:rsidRDefault="00F2132F" w:rsidP="00B52B63">
                  <w:pPr>
                    <w:spacing w:after="120"/>
                    <w:rPr>
                      <w:rFonts w:ascii="Arial" w:hAnsi="Arial" w:cs="Arial"/>
                      <w:b/>
                      <w:color w:val="ED008C"/>
                      <w:sz w:val="28"/>
                      <w:szCs w:val="44"/>
                    </w:rPr>
                  </w:pPr>
                  <w:r w:rsidRPr="00B52B63">
                    <w:rPr>
                      <w:rFonts w:ascii="Arial" w:hAnsi="Arial" w:cs="Arial"/>
                      <w:b/>
                      <w:color w:val="ED008C"/>
                      <w:sz w:val="28"/>
                      <w:szCs w:val="44"/>
                    </w:rPr>
                    <w:t>Inwestor: Sento 15 Sp. z o.o.</w:t>
                  </w:r>
                  <w:r>
                    <w:rPr>
                      <w:rFonts w:ascii="Arial" w:hAnsi="Arial" w:cs="Arial"/>
                      <w:b/>
                      <w:color w:val="ED008C"/>
                      <w:sz w:val="28"/>
                      <w:szCs w:val="44"/>
                    </w:rPr>
                    <w:t>, Ul. Włościańska 2b, Kraków</w:t>
                  </w:r>
                </w:p>
                <w:p w:rsidR="00F2132F" w:rsidRPr="00B52B63" w:rsidRDefault="00F2132F" w:rsidP="00101E51">
                  <w:pPr>
                    <w:spacing w:after="120"/>
                    <w:jc w:val="center"/>
                    <w:rPr>
                      <w:rFonts w:ascii="Arial" w:hAnsi="Arial" w:cs="Arial"/>
                      <w:b/>
                      <w:color w:val="ED008C"/>
                      <w:sz w:val="28"/>
                      <w:szCs w:val="44"/>
                    </w:rPr>
                  </w:pPr>
                </w:p>
                <w:p w:rsidR="00F2132F" w:rsidRPr="00B52B63" w:rsidRDefault="00F2132F" w:rsidP="00B52B63">
                  <w:pPr>
                    <w:spacing w:after="120"/>
                    <w:rPr>
                      <w:rFonts w:ascii="Arial" w:hAnsi="Arial" w:cs="Arial"/>
                      <w:b/>
                      <w:color w:val="ED008C"/>
                      <w:sz w:val="28"/>
                      <w:szCs w:val="44"/>
                    </w:rPr>
                  </w:pPr>
                  <w:r w:rsidRPr="00B52B63">
                    <w:rPr>
                      <w:rFonts w:ascii="Arial" w:hAnsi="Arial" w:cs="Arial"/>
                      <w:b/>
                      <w:color w:val="ED008C"/>
                      <w:sz w:val="28"/>
                      <w:szCs w:val="44"/>
                    </w:rPr>
                    <w:t xml:space="preserve">Dzień sporządzenia Prospektu Informacyjnego: </w:t>
                  </w:r>
                  <w:r>
                    <w:rPr>
                      <w:rFonts w:ascii="Arial" w:hAnsi="Arial" w:cs="Arial"/>
                      <w:b/>
                      <w:color w:val="ED008C"/>
                      <w:sz w:val="28"/>
                      <w:szCs w:val="44"/>
                    </w:rPr>
                    <w:t>25 kwietnia 2012</w:t>
                  </w:r>
                </w:p>
              </w:txbxContent>
            </v:textbox>
          </v:shape>
        </w:pict>
      </w:r>
    </w:p>
    <w:p w:rsidR="00101E51" w:rsidRPr="003D006A" w:rsidRDefault="00101E51" w:rsidP="009A65DF">
      <w:pPr>
        <w:spacing w:line="360" w:lineRule="auto"/>
        <w:jc w:val="center"/>
        <w:rPr>
          <w:sz w:val="22"/>
          <w:szCs w:val="22"/>
        </w:rPr>
      </w:pPr>
    </w:p>
    <w:p w:rsidR="00101E51" w:rsidRDefault="00101E51" w:rsidP="009A65DF">
      <w:pPr>
        <w:spacing w:line="360" w:lineRule="auto"/>
        <w:rPr>
          <w:sz w:val="22"/>
          <w:szCs w:val="22"/>
        </w:rPr>
      </w:pPr>
    </w:p>
    <w:p w:rsidR="00840D4B" w:rsidRDefault="00840D4B" w:rsidP="009A65DF">
      <w:pPr>
        <w:spacing w:line="360" w:lineRule="auto"/>
        <w:rPr>
          <w:sz w:val="22"/>
          <w:szCs w:val="22"/>
        </w:rPr>
      </w:pPr>
    </w:p>
    <w:p w:rsidR="00840D4B" w:rsidRDefault="00840D4B" w:rsidP="009A65DF">
      <w:pPr>
        <w:spacing w:line="360" w:lineRule="auto"/>
        <w:rPr>
          <w:sz w:val="22"/>
          <w:szCs w:val="22"/>
        </w:rPr>
      </w:pPr>
    </w:p>
    <w:p w:rsidR="00840D4B" w:rsidRDefault="00840D4B" w:rsidP="009A65DF">
      <w:pPr>
        <w:spacing w:line="360" w:lineRule="auto"/>
        <w:rPr>
          <w:sz w:val="22"/>
          <w:szCs w:val="22"/>
        </w:rPr>
      </w:pPr>
    </w:p>
    <w:p w:rsidR="00840D4B" w:rsidRPr="003D006A" w:rsidRDefault="00840D4B" w:rsidP="009A65DF">
      <w:pPr>
        <w:spacing w:line="360" w:lineRule="auto"/>
        <w:rPr>
          <w:sz w:val="22"/>
          <w:szCs w:val="22"/>
        </w:rPr>
      </w:pPr>
    </w:p>
    <w:p w:rsidR="00101E51" w:rsidRPr="003D006A" w:rsidRDefault="00101E51" w:rsidP="009A65DF">
      <w:pPr>
        <w:spacing w:line="360" w:lineRule="auto"/>
        <w:rPr>
          <w:sz w:val="22"/>
          <w:szCs w:val="22"/>
        </w:rPr>
      </w:pPr>
    </w:p>
    <w:p w:rsidR="00101E51" w:rsidRPr="00E354A7" w:rsidRDefault="00101E51" w:rsidP="009A65DF">
      <w:pPr>
        <w:spacing w:line="360" w:lineRule="auto"/>
        <w:rPr>
          <w:sz w:val="22"/>
          <w:szCs w:val="22"/>
          <w:highlight w:val="yellow"/>
        </w:rPr>
      </w:pPr>
    </w:p>
    <w:p w:rsidR="00101E51" w:rsidRPr="00E354A7" w:rsidRDefault="00101E51" w:rsidP="009A65DF">
      <w:pPr>
        <w:spacing w:line="360" w:lineRule="auto"/>
        <w:rPr>
          <w:sz w:val="22"/>
          <w:szCs w:val="22"/>
          <w:highlight w:val="yellow"/>
        </w:rPr>
      </w:pPr>
    </w:p>
    <w:p w:rsidR="00101E51" w:rsidRDefault="00101E51" w:rsidP="009A65DF">
      <w:pPr>
        <w:spacing w:line="360" w:lineRule="auto"/>
        <w:rPr>
          <w:sz w:val="22"/>
          <w:szCs w:val="22"/>
          <w:highlight w:val="yellow"/>
        </w:rPr>
      </w:pPr>
    </w:p>
    <w:p w:rsidR="00840D4B" w:rsidRDefault="00840D4B" w:rsidP="009A65DF">
      <w:pPr>
        <w:spacing w:line="360" w:lineRule="auto"/>
        <w:rPr>
          <w:sz w:val="22"/>
          <w:szCs w:val="22"/>
          <w:highlight w:val="yellow"/>
        </w:rPr>
      </w:pPr>
    </w:p>
    <w:p w:rsidR="00840D4B" w:rsidRPr="00E354A7" w:rsidRDefault="00F542BE" w:rsidP="00DF73A9">
      <w:pPr>
        <w:spacing w:line="360" w:lineRule="auto"/>
        <w:jc w:val="center"/>
        <w:rPr>
          <w:sz w:val="22"/>
          <w:szCs w:val="22"/>
          <w:highlight w:val="yellow"/>
        </w:rPr>
        <w:sectPr w:rsidR="00840D4B" w:rsidRPr="00E354A7" w:rsidSect="001278DE">
          <w:headerReference w:type="default" r:id="rId8"/>
          <w:footerReference w:type="default" r:id="rId9"/>
          <w:pgSz w:w="11906" w:h="16838"/>
          <w:pgMar w:top="284" w:right="113" w:bottom="284" w:left="113" w:header="709" w:footer="709" w:gutter="0"/>
          <w:cols w:space="708"/>
          <w:docGrid w:linePitch="360"/>
        </w:sectPr>
      </w:pPr>
      <w:r>
        <w:rPr>
          <w:noProof/>
          <w:sz w:val="22"/>
          <w:szCs w:val="22"/>
          <w:highlight w:val="yellow"/>
        </w:rPr>
        <w:drawing>
          <wp:inline distT="0" distB="0" distL="0" distR="0">
            <wp:extent cx="5086350" cy="2641241"/>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351" cy="2655782"/>
                    </a:xfrm>
                    <a:prstGeom prst="rect">
                      <a:avLst/>
                    </a:prstGeom>
                    <a:noFill/>
                    <a:ln>
                      <a:noFill/>
                    </a:ln>
                  </pic:spPr>
                </pic:pic>
              </a:graphicData>
            </a:graphic>
          </wp:inline>
        </w:drawing>
      </w:r>
    </w:p>
    <w:p w:rsidR="006942CD" w:rsidRPr="00E354A7" w:rsidRDefault="006942CD" w:rsidP="009A65DF">
      <w:pPr>
        <w:spacing w:after="200" w:line="360" w:lineRule="auto"/>
        <w:rPr>
          <w:sz w:val="22"/>
          <w:szCs w:val="22"/>
          <w:highlight w:val="yellow"/>
        </w:rPr>
      </w:pPr>
    </w:p>
    <w:p w:rsidR="006942CD" w:rsidRPr="00E354A7" w:rsidRDefault="006942CD" w:rsidP="00C5443D">
      <w:pPr>
        <w:spacing w:after="200" w:line="360" w:lineRule="auto"/>
        <w:jc w:val="right"/>
        <w:rPr>
          <w:sz w:val="22"/>
          <w:szCs w:val="22"/>
          <w:highlight w:val="yellow"/>
        </w:rPr>
      </w:pPr>
    </w:p>
    <w:p w:rsidR="006942CD" w:rsidRPr="00E354A7" w:rsidRDefault="006942CD" w:rsidP="009A65DF">
      <w:pPr>
        <w:spacing w:after="200" w:line="360" w:lineRule="auto"/>
        <w:rPr>
          <w:sz w:val="22"/>
          <w:szCs w:val="22"/>
          <w:highlight w:val="yellow"/>
        </w:rPr>
      </w:pPr>
    </w:p>
    <w:p w:rsidR="006942CD" w:rsidRPr="00E354A7" w:rsidRDefault="006942CD" w:rsidP="009A65DF">
      <w:pPr>
        <w:spacing w:after="200" w:line="360" w:lineRule="auto"/>
        <w:rPr>
          <w:sz w:val="22"/>
          <w:szCs w:val="22"/>
          <w:highlight w:val="yellow"/>
        </w:rPr>
      </w:pPr>
    </w:p>
    <w:p w:rsidR="006942CD" w:rsidRPr="00E354A7" w:rsidRDefault="006942CD" w:rsidP="009A65DF">
      <w:pPr>
        <w:spacing w:after="200" w:line="360" w:lineRule="auto"/>
        <w:rPr>
          <w:sz w:val="22"/>
          <w:szCs w:val="22"/>
          <w:highlight w:val="yellow"/>
        </w:rPr>
      </w:pPr>
    </w:p>
    <w:p w:rsidR="006942CD" w:rsidRPr="00E354A7" w:rsidRDefault="006942CD" w:rsidP="009A65DF">
      <w:pPr>
        <w:spacing w:after="200" w:line="360" w:lineRule="auto"/>
        <w:rPr>
          <w:sz w:val="22"/>
          <w:szCs w:val="22"/>
          <w:highlight w:val="yellow"/>
        </w:rPr>
      </w:pPr>
    </w:p>
    <w:p w:rsidR="006942CD" w:rsidRPr="00BC1007" w:rsidRDefault="006942CD" w:rsidP="009A65DF">
      <w:pPr>
        <w:spacing w:after="200" w:line="360" w:lineRule="auto"/>
        <w:rPr>
          <w:sz w:val="22"/>
          <w:szCs w:val="22"/>
        </w:rPr>
      </w:pPr>
    </w:p>
    <w:p w:rsidR="006942CD" w:rsidRPr="00BC1007" w:rsidRDefault="006942CD" w:rsidP="009A65DF">
      <w:pPr>
        <w:spacing w:after="200" w:line="360" w:lineRule="auto"/>
        <w:rPr>
          <w:sz w:val="22"/>
          <w:szCs w:val="22"/>
        </w:rPr>
      </w:pPr>
    </w:p>
    <w:p w:rsidR="006942CD" w:rsidRPr="00BC1007" w:rsidRDefault="006942CD" w:rsidP="009A65DF">
      <w:pPr>
        <w:spacing w:after="200" w:line="360" w:lineRule="auto"/>
        <w:rPr>
          <w:sz w:val="22"/>
          <w:szCs w:val="22"/>
        </w:rPr>
      </w:pPr>
    </w:p>
    <w:p w:rsidR="006942CD" w:rsidRPr="00BC1007" w:rsidRDefault="00A849FE" w:rsidP="009A65DF">
      <w:pPr>
        <w:spacing w:after="200" w:line="360" w:lineRule="auto"/>
        <w:jc w:val="both"/>
        <w:rPr>
          <w:sz w:val="22"/>
          <w:szCs w:val="22"/>
        </w:rPr>
      </w:pPr>
      <w:r w:rsidRPr="00BC1007">
        <w:rPr>
          <w:sz w:val="22"/>
          <w:szCs w:val="22"/>
        </w:rPr>
        <w:t xml:space="preserve">Niniejszy prospekt informacyjny został opracowany na podstawie Ustawy </w:t>
      </w:r>
      <w:r w:rsidR="006942CD" w:rsidRPr="00BC1007">
        <w:rPr>
          <w:sz w:val="22"/>
          <w:szCs w:val="22"/>
        </w:rPr>
        <w:t>z dnia 16 września 2011 r. o ochronie praw nabywcy lokalu mieszkalnego lub domu jednorodzinnego (Dziennik Ustaw Nr. 232 poz. 1377)</w:t>
      </w:r>
      <w:r w:rsidR="003C17D4">
        <w:rPr>
          <w:sz w:val="22"/>
          <w:szCs w:val="22"/>
        </w:rPr>
        <w:t>.</w:t>
      </w:r>
    </w:p>
    <w:p w:rsidR="006942CD" w:rsidRPr="00BC1007" w:rsidRDefault="006942CD" w:rsidP="009A65DF">
      <w:pPr>
        <w:spacing w:after="200" w:line="360" w:lineRule="auto"/>
        <w:jc w:val="both"/>
        <w:rPr>
          <w:sz w:val="22"/>
          <w:szCs w:val="22"/>
        </w:rPr>
      </w:pPr>
    </w:p>
    <w:p w:rsidR="00A849FE" w:rsidRPr="00E354A7" w:rsidRDefault="006942CD" w:rsidP="009A65DF">
      <w:pPr>
        <w:spacing w:after="200" w:line="360" w:lineRule="auto"/>
        <w:jc w:val="both"/>
        <w:rPr>
          <w:sz w:val="22"/>
          <w:szCs w:val="22"/>
          <w:highlight w:val="yellow"/>
        </w:rPr>
      </w:pPr>
      <w:r w:rsidRPr="00BC1007">
        <w:rPr>
          <w:sz w:val="22"/>
          <w:szCs w:val="22"/>
        </w:rPr>
        <w:t>Dane zawarte w niniejszym Prospekcie są zgodne z najlepszą wiedzą Inwestora oraz przedstawione przy zachowaniu należytej staranności</w:t>
      </w:r>
      <w:r w:rsidR="003C17D4">
        <w:rPr>
          <w:sz w:val="22"/>
          <w:szCs w:val="22"/>
        </w:rPr>
        <w:t>.</w:t>
      </w:r>
      <w:r w:rsidR="00A849FE" w:rsidRPr="00E354A7">
        <w:rPr>
          <w:sz w:val="22"/>
          <w:szCs w:val="22"/>
          <w:highlight w:val="yellow"/>
        </w:rPr>
        <w:br w:type="page"/>
      </w:r>
    </w:p>
    <w:p w:rsidR="006942CD" w:rsidRPr="00BC1007" w:rsidRDefault="006942CD" w:rsidP="009A65DF">
      <w:pPr>
        <w:pStyle w:val="Spistreci2"/>
        <w:spacing w:line="360" w:lineRule="auto"/>
        <w:rPr>
          <w:rFonts w:ascii="Times New Roman" w:hAnsi="Times New Roman" w:cs="Times New Roman"/>
          <w:sz w:val="22"/>
          <w:szCs w:val="22"/>
        </w:rPr>
      </w:pPr>
      <w:r w:rsidRPr="00BC1007">
        <w:rPr>
          <w:rFonts w:ascii="Times New Roman" w:hAnsi="Times New Roman" w:cs="Times New Roman"/>
          <w:sz w:val="22"/>
          <w:szCs w:val="22"/>
        </w:rPr>
        <w:lastRenderedPageBreak/>
        <w:t>Spis treści</w:t>
      </w:r>
    </w:p>
    <w:p w:rsidR="006942CD" w:rsidRPr="00BC1007" w:rsidRDefault="006942CD" w:rsidP="009A65DF">
      <w:pPr>
        <w:spacing w:line="360" w:lineRule="auto"/>
        <w:rPr>
          <w:sz w:val="22"/>
          <w:szCs w:val="22"/>
        </w:rPr>
      </w:pPr>
    </w:p>
    <w:p w:rsidR="008568B4" w:rsidRDefault="000D7675">
      <w:pPr>
        <w:pStyle w:val="Spistreci1"/>
        <w:rPr>
          <w:rFonts w:asciiTheme="minorHAnsi" w:eastAsiaTheme="minorEastAsia" w:hAnsiTheme="minorHAnsi" w:cstheme="minorBidi"/>
          <w:noProof/>
          <w:sz w:val="22"/>
          <w:szCs w:val="22"/>
        </w:rPr>
      </w:pPr>
      <w:r w:rsidRPr="00BC1007">
        <w:rPr>
          <w:sz w:val="22"/>
          <w:szCs w:val="22"/>
        </w:rPr>
        <w:fldChar w:fldCharType="begin"/>
      </w:r>
      <w:r w:rsidR="00101E51" w:rsidRPr="00BC1007">
        <w:rPr>
          <w:sz w:val="22"/>
          <w:szCs w:val="22"/>
        </w:rPr>
        <w:instrText xml:space="preserve"> TOC \o "1-3" \u </w:instrText>
      </w:r>
      <w:r w:rsidRPr="00BC1007">
        <w:rPr>
          <w:sz w:val="22"/>
          <w:szCs w:val="22"/>
        </w:rPr>
        <w:fldChar w:fldCharType="separate"/>
      </w:r>
      <w:r w:rsidR="008568B4" w:rsidRPr="00F90E15">
        <w:rPr>
          <w:noProof/>
        </w:rPr>
        <w:t>Część Ogólna</w:t>
      </w:r>
      <w:r w:rsidR="008568B4">
        <w:rPr>
          <w:noProof/>
        </w:rPr>
        <w:tab/>
      </w:r>
      <w:r>
        <w:rPr>
          <w:noProof/>
        </w:rPr>
        <w:fldChar w:fldCharType="begin"/>
      </w:r>
      <w:r w:rsidR="008568B4">
        <w:rPr>
          <w:noProof/>
        </w:rPr>
        <w:instrText xml:space="preserve"> PAGEREF _Toc337026253 \h </w:instrText>
      </w:r>
      <w:r>
        <w:rPr>
          <w:noProof/>
        </w:rPr>
      </w:r>
      <w:r>
        <w:rPr>
          <w:noProof/>
        </w:rPr>
        <w:fldChar w:fldCharType="separate"/>
      </w:r>
      <w:r w:rsidR="005B6D62">
        <w:rPr>
          <w:noProof/>
        </w:rPr>
        <w:t>4</w:t>
      </w:r>
      <w:r>
        <w:rPr>
          <w:noProof/>
        </w:rPr>
        <w:fldChar w:fldCharType="end"/>
      </w:r>
    </w:p>
    <w:p w:rsidR="008568B4" w:rsidRDefault="008568B4">
      <w:pPr>
        <w:pStyle w:val="Spistreci2"/>
        <w:tabs>
          <w:tab w:val="left" w:pos="660"/>
        </w:tabs>
        <w:rPr>
          <w:rFonts w:asciiTheme="minorHAnsi" w:eastAsiaTheme="minorEastAsia" w:hAnsiTheme="minorHAnsi" w:cstheme="minorBidi"/>
          <w:b w:val="0"/>
          <w:noProof/>
          <w:sz w:val="22"/>
          <w:szCs w:val="22"/>
        </w:rPr>
      </w:pPr>
      <w:r w:rsidRPr="00F90E15">
        <w:rPr>
          <w:rFonts w:ascii="Times New Roman" w:hAnsi="Times New Roman" w:cs="Times New Roman"/>
          <w:noProof/>
        </w:rPr>
        <w:t>I.</w:t>
      </w:r>
      <w:r>
        <w:rPr>
          <w:rFonts w:asciiTheme="minorHAnsi" w:eastAsiaTheme="minorEastAsia" w:hAnsiTheme="minorHAnsi" w:cstheme="minorBidi"/>
          <w:b w:val="0"/>
          <w:noProof/>
          <w:sz w:val="22"/>
          <w:szCs w:val="22"/>
        </w:rPr>
        <w:tab/>
        <w:t xml:space="preserve">    </w:t>
      </w:r>
      <w:r w:rsidRPr="00F90E15">
        <w:rPr>
          <w:rFonts w:ascii="Times New Roman" w:hAnsi="Times New Roman" w:cs="Times New Roman"/>
          <w:noProof/>
        </w:rPr>
        <w:t>Dane identyfikacyjne i kontaktowe dotyczące dewelopera</w:t>
      </w:r>
      <w:r>
        <w:rPr>
          <w:noProof/>
        </w:rPr>
        <w:tab/>
      </w:r>
      <w:r w:rsidR="000D7675">
        <w:rPr>
          <w:noProof/>
        </w:rPr>
        <w:fldChar w:fldCharType="begin"/>
      </w:r>
      <w:r>
        <w:rPr>
          <w:noProof/>
        </w:rPr>
        <w:instrText xml:space="preserve"> PAGEREF _Toc337026254 \h </w:instrText>
      </w:r>
      <w:r w:rsidR="000D7675">
        <w:rPr>
          <w:noProof/>
        </w:rPr>
      </w:r>
      <w:r w:rsidR="000D7675">
        <w:rPr>
          <w:noProof/>
        </w:rPr>
        <w:fldChar w:fldCharType="separate"/>
      </w:r>
      <w:r w:rsidR="005B6D62">
        <w:rPr>
          <w:noProof/>
        </w:rPr>
        <w:t>4</w:t>
      </w:r>
      <w:r w:rsidR="000D7675">
        <w:rPr>
          <w:noProof/>
        </w:rPr>
        <w:fldChar w:fldCharType="end"/>
      </w:r>
    </w:p>
    <w:p w:rsidR="008568B4" w:rsidRDefault="008568B4">
      <w:pPr>
        <w:pStyle w:val="Spistreci2"/>
        <w:tabs>
          <w:tab w:val="left" w:pos="880"/>
        </w:tabs>
        <w:rPr>
          <w:rFonts w:asciiTheme="minorHAnsi" w:eastAsiaTheme="minorEastAsia" w:hAnsiTheme="minorHAnsi" w:cstheme="minorBidi"/>
          <w:b w:val="0"/>
          <w:noProof/>
          <w:sz w:val="22"/>
          <w:szCs w:val="22"/>
        </w:rPr>
      </w:pPr>
      <w:r w:rsidRPr="00F90E15">
        <w:rPr>
          <w:rFonts w:ascii="Times New Roman" w:hAnsi="Times New Roman" w:cs="Times New Roman"/>
          <w:noProof/>
        </w:rPr>
        <w:t>II.</w:t>
      </w:r>
      <w:r>
        <w:rPr>
          <w:rFonts w:asciiTheme="minorHAnsi" w:eastAsiaTheme="minorEastAsia" w:hAnsiTheme="minorHAnsi" w:cstheme="minorBidi"/>
          <w:b w:val="0"/>
          <w:noProof/>
          <w:sz w:val="22"/>
          <w:szCs w:val="22"/>
        </w:rPr>
        <w:tab/>
      </w:r>
      <w:r w:rsidRPr="00F90E15">
        <w:rPr>
          <w:rFonts w:ascii="Times New Roman" w:hAnsi="Times New Roman" w:cs="Times New Roman"/>
          <w:noProof/>
        </w:rPr>
        <w:t>Doświadczenie dewelopera</w:t>
      </w:r>
      <w:r>
        <w:rPr>
          <w:noProof/>
        </w:rPr>
        <w:tab/>
      </w:r>
      <w:r w:rsidR="000D7675">
        <w:rPr>
          <w:noProof/>
        </w:rPr>
        <w:fldChar w:fldCharType="begin"/>
      </w:r>
      <w:r>
        <w:rPr>
          <w:noProof/>
        </w:rPr>
        <w:instrText xml:space="preserve"> PAGEREF _Toc337026255 \h </w:instrText>
      </w:r>
      <w:r w:rsidR="000D7675">
        <w:rPr>
          <w:noProof/>
        </w:rPr>
      </w:r>
      <w:r w:rsidR="000D7675">
        <w:rPr>
          <w:noProof/>
        </w:rPr>
        <w:fldChar w:fldCharType="separate"/>
      </w:r>
      <w:r w:rsidR="005B6D62">
        <w:rPr>
          <w:noProof/>
        </w:rPr>
        <w:t>4</w:t>
      </w:r>
      <w:r w:rsidR="000D7675">
        <w:rPr>
          <w:noProof/>
        </w:rPr>
        <w:fldChar w:fldCharType="end"/>
      </w:r>
    </w:p>
    <w:p w:rsidR="008568B4" w:rsidRDefault="008568B4">
      <w:pPr>
        <w:pStyle w:val="Spistreci2"/>
        <w:tabs>
          <w:tab w:val="left" w:pos="880"/>
        </w:tabs>
        <w:rPr>
          <w:rFonts w:asciiTheme="minorHAnsi" w:eastAsiaTheme="minorEastAsia" w:hAnsiTheme="minorHAnsi" w:cstheme="minorBidi"/>
          <w:b w:val="0"/>
          <w:noProof/>
          <w:sz w:val="22"/>
          <w:szCs w:val="22"/>
        </w:rPr>
      </w:pPr>
      <w:r w:rsidRPr="00F90E15">
        <w:rPr>
          <w:rFonts w:ascii="Times New Roman" w:hAnsi="Times New Roman" w:cs="Times New Roman"/>
          <w:noProof/>
        </w:rPr>
        <w:t>III.</w:t>
      </w:r>
      <w:r>
        <w:rPr>
          <w:rFonts w:asciiTheme="minorHAnsi" w:eastAsiaTheme="minorEastAsia" w:hAnsiTheme="minorHAnsi" w:cstheme="minorBidi"/>
          <w:b w:val="0"/>
          <w:noProof/>
          <w:sz w:val="22"/>
          <w:szCs w:val="22"/>
        </w:rPr>
        <w:tab/>
      </w:r>
      <w:r w:rsidRPr="00F90E15">
        <w:rPr>
          <w:rFonts w:ascii="Times New Roman" w:hAnsi="Times New Roman" w:cs="Times New Roman"/>
          <w:noProof/>
        </w:rPr>
        <w:t>Informacje dotyczące nieruchomości i przedsięwzięcia deweloperskiego</w:t>
      </w:r>
      <w:r>
        <w:rPr>
          <w:noProof/>
        </w:rPr>
        <w:tab/>
      </w:r>
      <w:r w:rsidR="000D7675">
        <w:rPr>
          <w:noProof/>
        </w:rPr>
        <w:fldChar w:fldCharType="begin"/>
      </w:r>
      <w:r>
        <w:rPr>
          <w:noProof/>
        </w:rPr>
        <w:instrText xml:space="preserve"> PAGEREF _Toc337026256 \h </w:instrText>
      </w:r>
      <w:r w:rsidR="000D7675">
        <w:rPr>
          <w:noProof/>
        </w:rPr>
      </w:r>
      <w:r w:rsidR="000D7675">
        <w:rPr>
          <w:noProof/>
        </w:rPr>
        <w:fldChar w:fldCharType="separate"/>
      </w:r>
      <w:r w:rsidR="005B6D62">
        <w:rPr>
          <w:noProof/>
        </w:rPr>
        <w:t>5</w:t>
      </w:r>
      <w:r w:rsidR="000D7675">
        <w:rPr>
          <w:noProof/>
        </w:rPr>
        <w:fldChar w:fldCharType="end"/>
      </w:r>
    </w:p>
    <w:p w:rsidR="008568B4" w:rsidRDefault="008568B4">
      <w:pPr>
        <w:pStyle w:val="Spistreci1"/>
        <w:rPr>
          <w:rFonts w:asciiTheme="minorHAnsi" w:eastAsiaTheme="minorEastAsia" w:hAnsiTheme="minorHAnsi" w:cstheme="minorBidi"/>
          <w:noProof/>
          <w:sz w:val="22"/>
          <w:szCs w:val="22"/>
        </w:rPr>
      </w:pPr>
      <w:r w:rsidRPr="00F90E15">
        <w:rPr>
          <w:noProof/>
        </w:rPr>
        <w:t>Część indywidualna</w:t>
      </w:r>
      <w:r>
        <w:rPr>
          <w:noProof/>
        </w:rPr>
        <w:tab/>
      </w:r>
      <w:r w:rsidR="00577814">
        <w:rPr>
          <w:noProof/>
        </w:rPr>
        <w:t>13</w:t>
      </w:r>
    </w:p>
    <w:p w:rsidR="008568B4" w:rsidRDefault="008568B4">
      <w:pPr>
        <w:pStyle w:val="Spistreci1"/>
        <w:rPr>
          <w:rFonts w:asciiTheme="minorHAnsi" w:eastAsiaTheme="minorEastAsia" w:hAnsiTheme="minorHAnsi" w:cstheme="minorBidi"/>
          <w:noProof/>
          <w:sz w:val="22"/>
          <w:szCs w:val="22"/>
        </w:rPr>
      </w:pPr>
      <w:r w:rsidRPr="00F90E15">
        <w:rPr>
          <w:noProof/>
        </w:rPr>
        <w:t>Załączniki</w:t>
      </w:r>
      <w:r>
        <w:rPr>
          <w:noProof/>
        </w:rPr>
        <w:tab/>
      </w:r>
      <w:r w:rsidR="00C268CA">
        <w:rPr>
          <w:noProof/>
        </w:rPr>
        <w:t>15</w:t>
      </w:r>
    </w:p>
    <w:p w:rsidR="008568B4" w:rsidRDefault="008568B4">
      <w:pPr>
        <w:pStyle w:val="Spistreci1"/>
        <w:rPr>
          <w:rFonts w:asciiTheme="minorHAnsi" w:eastAsiaTheme="minorEastAsia" w:hAnsiTheme="minorHAnsi" w:cstheme="minorBidi"/>
          <w:noProof/>
          <w:sz w:val="22"/>
          <w:szCs w:val="22"/>
        </w:rPr>
      </w:pPr>
      <w:r w:rsidRPr="00F90E15">
        <w:rPr>
          <w:noProof/>
        </w:rPr>
        <w:t>Dane adresowe Działu Sprzedaży</w:t>
      </w:r>
      <w:r>
        <w:rPr>
          <w:noProof/>
        </w:rPr>
        <w:tab/>
      </w:r>
      <w:r w:rsidR="00C5443D">
        <w:rPr>
          <w:noProof/>
        </w:rPr>
        <w:t>17</w:t>
      </w:r>
    </w:p>
    <w:p w:rsidR="00101E51" w:rsidRPr="00BC1007" w:rsidRDefault="000D7675" w:rsidP="009A65DF">
      <w:pPr>
        <w:pStyle w:val="KW1podstawowy"/>
        <w:spacing w:line="360" w:lineRule="auto"/>
        <w:rPr>
          <w:rFonts w:ascii="Times New Roman" w:hAnsi="Times New Roman"/>
          <w:szCs w:val="22"/>
        </w:rPr>
        <w:sectPr w:rsidR="00101E51" w:rsidRPr="00BC1007" w:rsidSect="008B71A4">
          <w:pgSz w:w="11906" w:h="16838"/>
          <w:pgMar w:top="720" w:right="720" w:bottom="720" w:left="720" w:header="708" w:footer="708" w:gutter="0"/>
          <w:cols w:space="708"/>
          <w:docGrid w:linePitch="360"/>
        </w:sectPr>
      </w:pPr>
      <w:r w:rsidRPr="00BC1007">
        <w:rPr>
          <w:rFonts w:ascii="Times New Roman" w:hAnsi="Times New Roman"/>
          <w:szCs w:val="22"/>
        </w:rPr>
        <w:fldChar w:fldCharType="end"/>
      </w:r>
      <w:r w:rsidR="0018055D" w:rsidRPr="00BC1007">
        <w:rPr>
          <w:rFonts w:ascii="Times New Roman" w:hAnsi="Times New Roman"/>
          <w:szCs w:val="22"/>
        </w:rPr>
        <w:t xml:space="preserve"> </w:t>
      </w:r>
    </w:p>
    <w:p w:rsidR="00101E51" w:rsidRPr="00BC1007" w:rsidRDefault="0018055D" w:rsidP="009A65DF">
      <w:pPr>
        <w:pStyle w:val="Nagwek1"/>
        <w:spacing w:line="360" w:lineRule="auto"/>
        <w:rPr>
          <w:rFonts w:ascii="Times New Roman" w:hAnsi="Times New Roman" w:cs="Times New Roman"/>
          <w:sz w:val="28"/>
          <w:szCs w:val="22"/>
        </w:rPr>
      </w:pPr>
      <w:bookmarkStart w:id="0" w:name="_Toc337026253"/>
      <w:r w:rsidRPr="00BC1007">
        <w:rPr>
          <w:rFonts w:ascii="Times New Roman" w:hAnsi="Times New Roman" w:cs="Times New Roman"/>
          <w:sz w:val="28"/>
          <w:szCs w:val="22"/>
        </w:rPr>
        <w:lastRenderedPageBreak/>
        <w:t>Część Ogólna</w:t>
      </w:r>
      <w:bookmarkEnd w:id="0"/>
    </w:p>
    <w:p w:rsidR="006942CD" w:rsidRPr="00BC1007" w:rsidRDefault="003D006A" w:rsidP="009A65DF">
      <w:pPr>
        <w:pStyle w:val="Nagwek2"/>
        <w:numPr>
          <w:ilvl w:val="0"/>
          <w:numId w:val="32"/>
        </w:numPr>
        <w:spacing w:line="360" w:lineRule="auto"/>
        <w:rPr>
          <w:rFonts w:ascii="Times New Roman" w:hAnsi="Times New Roman" w:cs="Times New Roman"/>
          <w:sz w:val="24"/>
          <w:szCs w:val="22"/>
        </w:rPr>
      </w:pPr>
      <w:bookmarkStart w:id="1" w:name="_Toc337026254"/>
      <w:r w:rsidRPr="00BC1007">
        <w:rPr>
          <w:rFonts w:ascii="Times New Roman" w:hAnsi="Times New Roman" w:cs="Times New Roman"/>
          <w:sz w:val="24"/>
          <w:szCs w:val="22"/>
        </w:rPr>
        <w:t>Dane identyfikacyjne i kontaktowe dotyczące dewelopera</w:t>
      </w:r>
      <w:bookmarkEnd w:id="1"/>
    </w:p>
    <w:p w:rsidR="00FD3F2E" w:rsidRPr="00BC1007" w:rsidRDefault="00FD3F2E" w:rsidP="009A65DF">
      <w:pPr>
        <w:spacing w:line="360" w:lineRule="auto"/>
        <w:rPr>
          <w:b/>
          <w:sz w:val="22"/>
          <w:szCs w:val="22"/>
        </w:rPr>
      </w:pPr>
    </w:p>
    <w:tbl>
      <w:tblPr>
        <w:tblStyle w:val="Tabela-Siatka"/>
        <w:tblW w:w="0" w:type="auto"/>
        <w:tblLook w:val="04A0" w:firstRow="1" w:lastRow="0" w:firstColumn="1" w:lastColumn="0" w:noHBand="0" w:noVBand="1"/>
      </w:tblPr>
      <w:tblGrid>
        <w:gridCol w:w="4605"/>
        <w:gridCol w:w="2302"/>
        <w:gridCol w:w="2303"/>
      </w:tblGrid>
      <w:tr w:rsidR="006942CD" w:rsidRPr="00E354A7" w:rsidTr="00C51811">
        <w:tc>
          <w:tcPr>
            <w:tcW w:w="4605" w:type="dxa"/>
          </w:tcPr>
          <w:p w:rsidR="006942CD" w:rsidRPr="00BA777E" w:rsidRDefault="006942CD" w:rsidP="009A65DF">
            <w:pPr>
              <w:spacing w:line="360" w:lineRule="auto"/>
              <w:rPr>
                <w:b/>
              </w:rPr>
            </w:pPr>
            <w:r w:rsidRPr="00BA777E">
              <w:t>Deweloper</w:t>
            </w:r>
          </w:p>
        </w:tc>
        <w:tc>
          <w:tcPr>
            <w:tcW w:w="4605" w:type="dxa"/>
            <w:gridSpan w:val="2"/>
          </w:tcPr>
          <w:p w:rsidR="006942CD" w:rsidRPr="00BA777E" w:rsidRDefault="00BC1007" w:rsidP="009A65DF">
            <w:pPr>
              <w:spacing w:line="360" w:lineRule="auto"/>
            </w:pPr>
            <w:r w:rsidRPr="00BA777E">
              <w:t>PM – Development Paweł Mleko</w:t>
            </w:r>
          </w:p>
        </w:tc>
      </w:tr>
      <w:tr w:rsidR="006942CD" w:rsidRPr="00E354A7" w:rsidTr="00C51811">
        <w:tc>
          <w:tcPr>
            <w:tcW w:w="4605" w:type="dxa"/>
          </w:tcPr>
          <w:p w:rsidR="006942CD" w:rsidRPr="00BA777E" w:rsidRDefault="006942CD" w:rsidP="009A65DF">
            <w:pPr>
              <w:spacing w:line="360" w:lineRule="auto"/>
              <w:rPr>
                <w:b/>
              </w:rPr>
            </w:pPr>
            <w:r w:rsidRPr="00BA777E">
              <w:t>Adres</w:t>
            </w:r>
          </w:p>
        </w:tc>
        <w:tc>
          <w:tcPr>
            <w:tcW w:w="4605" w:type="dxa"/>
            <w:gridSpan w:val="2"/>
          </w:tcPr>
          <w:p w:rsidR="00E62428" w:rsidRDefault="00B5403C" w:rsidP="00B5403C">
            <w:r>
              <w:t>ul. Słomiana 14/2</w:t>
            </w:r>
          </w:p>
          <w:p w:rsidR="00B5403C" w:rsidRPr="00BA777E" w:rsidRDefault="00B5403C" w:rsidP="00B5403C">
            <w:r>
              <w:t xml:space="preserve">30-316 Kraków </w:t>
            </w:r>
          </w:p>
        </w:tc>
      </w:tr>
      <w:tr w:rsidR="006942CD" w:rsidRPr="00E354A7" w:rsidTr="00C51811">
        <w:tc>
          <w:tcPr>
            <w:tcW w:w="4605" w:type="dxa"/>
          </w:tcPr>
          <w:p w:rsidR="006942CD" w:rsidRPr="00BA777E" w:rsidRDefault="006942CD" w:rsidP="009A65DF">
            <w:pPr>
              <w:spacing w:line="360" w:lineRule="auto"/>
              <w:rPr>
                <w:b/>
              </w:rPr>
            </w:pPr>
            <w:r w:rsidRPr="00BA777E">
              <w:t>Nr NIP i REGON</w:t>
            </w:r>
          </w:p>
        </w:tc>
        <w:tc>
          <w:tcPr>
            <w:tcW w:w="2302" w:type="dxa"/>
          </w:tcPr>
          <w:p w:rsidR="006942CD" w:rsidRPr="00BA777E" w:rsidRDefault="00F73DC9" w:rsidP="00D60EAC">
            <w:pPr>
              <w:spacing w:line="360" w:lineRule="auto"/>
            </w:pPr>
            <w:r>
              <w:t>6831007858</w:t>
            </w:r>
          </w:p>
        </w:tc>
        <w:tc>
          <w:tcPr>
            <w:tcW w:w="2303" w:type="dxa"/>
          </w:tcPr>
          <w:p w:rsidR="006942CD" w:rsidRPr="00BA777E" w:rsidRDefault="00BA777E" w:rsidP="009A65DF">
            <w:pPr>
              <w:spacing w:line="360" w:lineRule="auto"/>
            </w:pPr>
            <w:r w:rsidRPr="00BA777E">
              <w:t>357206038</w:t>
            </w:r>
          </w:p>
        </w:tc>
      </w:tr>
      <w:tr w:rsidR="006942CD" w:rsidRPr="00E354A7" w:rsidTr="00C51811">
        <w:tc>
          <w:tcPr>
            <w:tcW w:w="4605" w:type="dxa"/>
          </w:tcPr>
          <w:p w:rsidR="006942CD" w:rsidRPr="00BA777E" w:rsidRDefault="00E62428" w:rsidP="009A65DF">
            <w:pPr>
              <w:spacing w:line="360" w:lineRule="auto"/>
              <w:rPr>
                <w:b/>
              </w:rPr>
            </w:pPr>
            <w:r w:rsidRPr="00BA777E">
              <w:t>Nr telefonu</w:t>
            </w:r>
          </w:p>
        </w:tc>
        <w:tc>
          <w:tcPr>
            <w:tcW w:w="4605" w:type="dxa"/>
            <w:gridSpan w:val="2"/>
          </w:tcPr>
          <w:p w:rsidR="006942CD" w:rsidRDefault="00BA777E" w:rsidP="00BA777E">
            <w:pPr>
              <w:rPr>
                <w:rFonts w:eastAsiaTheme="minorEastAsia"/>
                <w:noProof/>
              </w:rPr>
            </w:pPr>
            <w:r w:rsidRPr="00BA777E">
              <w:rPr>
                <w:rFonts w:eastAsiaTheme="minorEastAsia"/>
                <w:noProof/>
              </w:rPr>
              <w:t>601 920</w:t>
            </w:r>
            <w:r>
              <w:rPr>
                <w:rFonts w:eastAsiaTheme="minorEastAsia"/>
                <w:noProof/>
              </w:rPr>
              <w:t> </w:t>
            </w:r>
            <w:r w:rsidRPr="00BA777E">
              <w:rPr>
                <w:rFonts w:eastAsiaTheme="minorEastAsia"/>
                <w:noProof/>
              </w:rPr>
              <w:t>871</w:t>
            </w:r>
          </w:p>
          <w:p w:rsidR="00BA777E" w:rsidRPr="00BA777E" w:rsidRDefault="00BA777E" w:rsidP="009A65DF">
            <w:pPr>
              <w:spacing w:line="360" w:lineRule="auto"/>
              <w:rPr>
                <w:sz w:val="18"/>
                <w:szCs w:val="18"/>
                <w:highlight w:val="yellow"/>
              </w:rPr>
            </w:pPr>
          </w:p>
        </w:tc>
      </w:tr>
      <w:tr w:rsidR="006942CD" w:rsidRPr="00E354A7" w:rsidTr="00C51811">
        <w:tc>
          <w:tcPr>
            <w:tcW w:w="4605" w:type="dxa"/>
          </w:tcPr>
          <w:p w:rsidR="006942CD" w:rsidRPr="00BA777E" w:rsidRDefault="00E62428" w:rsidP="009A65DF">
            <w:pPr>
              <w:spacing w:line="360" w:lineRule="auto"/>
              <w:rPr>
                <w:b/>
              </w:rPr>
            </w:pPr>
            <w:r w:rsidRPr="00BA777E">
              <w:t>Adres poczty elektronicznej</w:t>
            </w:r>
          </w:p>
        </w:tc>
        <w:tc>
          <w:tcPr>
            <w:tcW w:w="4605" w:type="dxa"/>
            <w:gridSpan w:val="2"/>
          </w:tcPr>
          <w:p w:rsidR="006942CD" w:rsidRPr="00E354A7" w:rsidRDefault="00601540" w:rsidP="009A65DF">
            <w:pPr>
              <w:spacing w:line="360" w:lineRule="auto"/>
              <w:rPr>
                <w:highlight w:val="yellow"/>
              </w:rPr>
            </w:pPr>
            <w:hyperlink r:id="rId11" w:history="1">
              <w:r w:rsidR="00DA56F2" w:rsidRPr="00107102">
                <w:rPr>
                  <w:rStyle w:val="Hipercze"/>
                </w:rPr>
                <w:t>biuro@pmdevelopment.pl</w:t>
              </w:r>
            </w:hyperlink>
          </w:p>
        </w:tc>
      </w:tr>
      <w:tr w:rsidR="006942CD" w:rsidRPr="00E354A7" w:rsidTr="00C51811">
        <w:tc>
          <w:tcPr>
            <w:tcW w:w="4605" w:type="dxa"/>
          </w:tcPr>
          <w:p w:rsidR="006942CD" w:rsidRPr="00BA777E" w:rsidRDefault="00E62428" w:rsidP="009A65DF">
            <w:pPr>
              <w:spacing w:line="360" w:lineRule="auto"/>
              <w:rPr>
                <w:b/>
              </w:rPr>
            </w:pPr>
            <w:r w:rsidRPr="00BA777E">
              <w:t>Adres strony internetowej dewelopera</w:t>
            </w:r>
          </w:p>
        </w:tc>
        <w:tc>
          <w:tcPr>
            <w:tcW w:w="4605" w:type="dxa"/>
            <w:gridSpan w:val="2"/>
          </w:tcPr>
          <w:p w:rsidR="006942CD" w:rsidRPr="00E354A7" w:rsidRDefault="00601540" w:rsidP="009A65DF">
            <w:pPr>
              <w:spacing w:line="360" w:lineRule="auto"/>
              <w:rPr>
                <w:highlight w:val="yellow"/>
              </w:rPr>
            </w:pPr>
            <w:hyperlink r:id="rId12" w:history="1">
              <w:r w:rsidR="00DA56F2" w:rsidRPr="00107102">
                <w:rPr>
                  <w:rStyle w:val="Hipercze"/>
                </w:rPr>
                <w:t>www.pmdevelopment.pl</w:t>
              </w:r>
            </w:hyperlink>
          </w:p>
        </w:tc>
      </w:tr>
    </w:tbl>
    <w:p w:rsidR="006942CD" w:rsidRPr="00E354A7" w:rsidRDefault="006942CD" w:rsidP="009A65DF">
      <w:pPr>
        <w:spacing w:line="360" w:lineRule="auto"/>
        <w:rPr>
          <w:b/>
          <w:sz w:val="22"/>
          <w:szCs w:val="22"/>
          <w:highlight w:val="yellow"/>
        </w:rPr>
      </w:pPr>
    </w:p>
    <w:p w:rsidR="00E62428" w:rsidRPr="004E72BE" w:rsidRDefault="003D006A" w:rsidP="009A65DF">
      <w:pPr>
        <w:pStyle w:val="Nagwek2"/>
        <w:numPr>
          <w:ilvl w:val="0"/>
          <w:numId w:val="32"/>
        </w:numPr>
        <w:spacing w:line="360" w:lineRule="auto"/>
        <w:rPr>
          <w:rFonts w:ascii="Times New Roman" w:hAnsi="Times New Roman" w:cs="Times New Roman"/>
          <w:sz w:val="24"/>
          <w:szCs w:val="22"/>
        </w:rPr>
      </w:pPr>
      <w:bookmarkStart w:id="2" w:name="_Toc337026255"/>
      <w:r w:rsidRPr="004E72BE">
        <w:rPr>
          <w:rFonts w:ascii="Times New Roman" w:hAnsi="Times New Roman" w:cs="Times New Roman"/>
          <w:sz w:val="24"/>
          <w:szCs w:val="22"/>
        </w:rPr>
        <w:t>Doświadczenie dewelopera</w:t>
      </w:r>
      <w:bookmarkEnd w:id="2"/>
    </w:p>
    <w:p w:rsidR="00864B67" w:rsidRPr="00864B67" w:rsidRDefault="00864B67" w:rsidP="004E72BE">
      <w:pPr>
        <w:spacing w:line="360" w:lineRule="auto"/>
        <w:ind w:firstLine="360"/>
        <w:jc w:val="both"/>
        <w:rPr>
          <w:sz w:val="22"/>
          <w:szCs w:val="22"/>
        </w:rPr>
      </w:pPr>
    </w:p>
    <w:p w:rsidR="004E72BE" w:rsidRPr="00864B67" w:rsidRDefault="004E72BE" w:rsidP="004E72BE">
      <w:pPr>
        <w:spacing w:line="360" w:lineRule="auto"/>
        <w:ind w:firstLine="360"/>
        <w:jc w:val="both"/>
        <w:rPr>
          <w:sz w:val="22"/>
          <w:szCs w:val="22"/>
        </w:rPr>
      </w:pPr>
      <w:r w:rsidRPr="00864B67">
        <w:rPr>
          <w:sz w:val="22"/>
          <w:szCs w:val="22"/>
        </w:rPr>
        <w:t>Naszymi podstawowymi założeniami jest solidność, realizacja projektów w terminie, wychodzenie naprzeciw oczekiwaniom klientów. Dotychczasowa działalność naszej firmy pozwoliła nam poznać różnych klientów i ich oczekiwania, a także nawiązać kontakty handlowe</w:t>
      </w:r>
      <w:r w:rsidR="0011191C">
        <w:rPr>
          <w:sz w:val="22"/>
          <w:szCs w:val="22"/>
        </w:rPr>
        <w:t xml:space="preserve"> z innymi firmami. </w:t>
      </w:r>
    </w:p>
    <w:p w:rsidR="004E72BE" w:rsidRPr="00864B67" w:rsidRDefault="004E72BE" w:rsidP="004E72BE">
      <w:pPr>
        <w:spacing w:line="360" w:lineRule="auto"/>
        <w:ind w:firstLine="360"/>
        <w:jc w:val="both"/>
        <w:rPr>
          <w:sz w:val="22"/>
          <w:szCs w:val="22"/>
        </w:rPr>
      </w:pPr>
      <w:r w:rsidRPr="00864B67">
        <w:rPr>
          <w:sz w:val="22"/>
          <w:szCs w:val="22"/>
        </w:rPr>
        <w:t xml:space="preserve">Zajmujemy się realizacją projektów od A do Z, czyli od znalezienia odpowiedniego ,,miejsca do życia” do przekazania </w:t>
      </w:r>
      <w:r w:rsidR="00C268CA">
        <w:rPr>
          <w:sz w:val="22"/>
          <w:szCs w:val="22"/>
        </w:rPr>
        <w:t>Państwu kluczy do własnego mieszkania .</w:t>
      </w:r>
      <w:r w:rsidR="00A20326" w:rsidRPr="00864B67">
        <w:rPr>
          <w:sz w:val="22"/>
          <w:szCs w:val="22"/>
        </w:rPr>
        <w:t xml:space="preserve"> </w:t>
      </w:r>
    </w:p>
    <w:p w:rsidR="00864B67" w:rsidRPr="00864B67" w:rsidRDefault="00864B67" w:rsidP="00864B67">
      <w:pPr>
        <w:spacing w:line="360" w:lineRule="auto"/>
        <w:ind w:firstLine="360"/>
        <w:jc w:val="both"/>
        <w:rPr>
          <w:sz w:val="22"/>
          <w:szCs w:val="22"/>
        </w:rPr>
      </w:pPr>
      <w:r w:rsidRPr="00864B67">
        <w:rPr>
          <w:sz w:val="22"/>
          <w:szCs w:val="22"/>
        </w:rPr>
        <w:t>Jesteśmy jednym z niewielu inwestorów w Małopolsce, któr</w:t>
      </w:r>
      <w:r w:rsidR="00EA6EA1">
        <w:rPr>
          <w:sz w:val="22"/>
          <w:szCs w:val="22"/>
        </w:rPr>
        <w:t>zy mogą</w:t>
      </w:r>
      <w:r w:rsidRPr="00864B67">
        <w:rPr>
          <w:sz w:val="22"/>
          <w:szCs w:val="22"/>
        </w:rPr>
        <w:t xml:space="preserve"> pochwalić się realizacją projektu w oparciu o własne środki. Inwestor bez kredytów – to bezpieczeństwo, terminowość w</w:t>
      </w:r>
      <w:r w:rsidR="00385F5D">
        <w:rPr>
          <w:sz w:val="22"/>
          <w:szCs w:val="22"/>
        </w:rPr>
        <w:t> </w:t>
      </w:r>
      <w:r w:rsidRPr="00864B67">
        <w:rPr>
          <w:sz w:val="22"/>
          <w:szCs w:val="22"/>
        </w:rPr>
        <w:t xml:space="preserve">realizacji inwestycji, wysoki standard wykonania, zadowolenie klientów. </w:t>
      </w:r>
    </w:p>
    <w:p w:rsidR="00864B67" w:rsidRPr="00864B67" w:rsidRDefault="00864B67" w:rsidP="00864B67">
      <w:pPr>
        <w:spacing w:line="360" w:lineRule="auto"/>
        <w:ind w:firstLine="360"/>
        <w:jc w:val="both"/>
        <w:rPr>
          <w:sz w:val="22"/>
          <w:szCs w:val="22"/>
        </w:rPr>
      </w:pPr>
      <w:r w:rsidRPr="00864B67">
        <w:rPr>
          <w:sz w:val="22"/>
          <w:szCs w:val="22"/>
        </w:rPr>
        <w:t xml:space="preserve">Celem naszej firmy jest budowanie ładnych, nowoczesnych domów i mieszkań o podwyższonym standardzie w przystępnych cenach. </w:t>
      </w:r>
    </w:p>
    <w:p w:rsidR="00864B67" w:rsidRPr="00864B67" w:rsidRDefault="00864B67" w:rsidP="00864B67">
      <w:pPr>
        <w:spacing w:line="360" w:lineRule="auto"/>
        <w:ind w:firstLine="360"/>
        <w:jc w:val="both"/>
        <w:rPr>
          <w:sz w:val="22"/>
          <w:szCs w:val="22"/>
        </w:rPr>
      </w:pPr>
      <w:r w:rsidRPr="00864B67">
        <w:rPr>
          <w:sz w:val="22"/>
          <w:szCs w:val="22"/>
        </w:rPr>
        <w:t xml:space="preserve">Zdajemy sobie sprawę, że zakup własnego mieszkania czy domu wiąże się z zaciągnięciem kredytu nawet na kilkadziesiąt lat, dlatego też wychodzimy naprzeciw Państwa oczekiwaniom a nasi pracownicy służą fachową radą i pomocą na każdym etapie budowy inwestycji. </w:t>
      </w:r>
    </w:p>
    <w:p w:rsidR="00864B67" w:rsidRPr="00864B67" w:rsidRDefault="00864B67" w:rsidP="00864B67">
      <w:pPr>
        <w:spacing w:line="360" w:lineRule="auto"/>
        <w:ind w:firstLine="360"/>
        <w:jc w:val="both"/>
        <w:rPr>
          <w:sz w:val="22"/>
          <w:szCs w:val="22"/>
        </w:rPr>
      </w:pPr>
      <w:r w:rsidRPr="00864B67">
        <w:rPr>
          <w:sz w:val="22"/>
          <w:szCs w:val="22"/>
        </w:rPr>
        <w:t xml:space="preserve">Państwa zadowolenie i satysfakcja to nasz ogromny sukces. Każdy zadowolony klient jest świadectwem naszej ciężkiej pracy. </w:t>
      </w:r>
    </w:p>
    <w:p w:rsidR="00864B67" w:rsidRPr="00864B67" w:rsidRDefault="00864B67" w:rsidP="00864B67">
      <w:pPr>
        <w:spacing w:line="360" w:lineRule="auto"/>
        <w:ind w:firstLine="360"/>
        <w:jc w:val="both"/>
        <w:rPr>
          <w:sz w:val="22"/>
          <w:szCs w:val="22"/>
        </w:rPr>
      </w:pPr>
      <w:r w:rsidRPr="00864B67">
        <w:rPr>
          <w:sz w:val="22"/>
          <w:szCs w:val="22"/>
        </w:rPr>
        <w:t xml:space="preserve"> Mamy nadzieję, że nasze profesjonalne podejście do realizacji każdego projektu i lata doświadczenia zdecydują o tym, że zdecydują się Państwo WYBUDOWAĆ Z NAMI SWÓJ DOM.</w:t>
      </w:r>
    </w:p>
    <w:p w:rsidR="00AF384E" w:rsidRPr="00AF384E" w:rsidRDefault="00B5403C" w:rsidP="00A20326">
      <w:pPr>
        <w:spacing w:line="360" w:lineRule="auto"/>
        <w:ind w:firstLine="360"/>
        <w:jc w:val="both"/>
        <w:rPr>
          <w:sz w:val="22"/>
          <w:szCs w:val="22"/>
        </w:rPr>
      </w:pPr>
      <w:r>
        <w:rPr>
          <w:sz w:val="22"/>
          <w:szCs w:val="22"/>
        </w:rPr>
        <w:lastRenderedPageBreak/>
        <w:t>Obec</w:t>
      </w:r>
      <w:r w:rsidR="00E20090">
        <w:rPr>
          <w:sz w:val="22"/>
          <w:szCs w:val="22"/>
        </w:rPr>
        <w:t xml:space="preserve">nie  w realizacji jest inwestycja „ Dobrowolskiego 24 etap I </w:t>
      </w:r>
      <w:r>
        <w:rPr>
          <w:sz w:val="22"/>
          <w:szCs w:val="22"/>
        </w:rPr>
        <w:t xml:space="preserve"> „</w:t>
      </w:r>
      <w:r w:rsidR="00E20090">
        <w:rPr>
          <w:sz w:val="22"/>
          <w:szCs w:val="22"/>
        </w:rPr>
        <w:t xml:space="preserve"> ostatnio ukończoną inwestycją była inwestycja  </w:t>
      </w:r>
      <w:r>
        <w:rPr>
          <w:sz w:val="22"/>
          <w:szCs w:val="22"/>
        </w:rPr>
        <w:t xml:space="preserve"> Apartamenty Słomiana 14</w:t>
      </w:r>
      <w:r w:rsidR="00E20090">
        <w:rPr>
          <w:sz w:val="22"/>
          <w:szCs w:val="22"/>
        </w:rPr>
        <w:t xml:space="preserve"> „</w:t>
      </w:r>
      <w:r>
        <w:rPr>
          <w:sz w:val="22"/>
          <w:szCs w:val="22"/>
        </w:rPr>
        <w:t xml:space="preserve">  ,całość inwestycji została sprzedana .</w:t>
      </w:r>
    </w:p>
    <w:p w:rsidR="00A20326" w:rsidRDefault="007301D4" w:rsidP="00A20326">
      <w:pPr>
        <w:spacing w:line="360" w:lineRule="auto"/>
        <w:ind w:firstLine="360"/>
        <w:jc w:val="both"/>
        <w:rPr>
          <w:sz w:val="22"/>
          <w:szCs w:val="22"/>
        </w:rPr>
      </w:pPr>
      <w:r>
        <w:rPr>
          <w:sz w:val="22"/>
          <w:szCs w:val="22"/>
        </w:rPr>
        <w:t>P</w:t>
      </w:r>
      <w:r w:rsidR="00B5403C">
        <w:rPr>
          <w:sz w:val="22"/>
          <w:szCs w:val="22"/>
        </w:rPr>
        <w:t xml:space="preserve">oza projektem „Apartamenty Słomiana 14 </w:t>
      </w:r>
      <w:r>
        <w:rPr>
          <w:sz w:val="22"/>
          <w:szCs w:val="22"/>
        </w:rPr>
        <w:t xml:space="preserve"> </w:t>
      </w:r>
      <w:r w:rsidR="00A20326" w:rsidRPr="00AF384E">
        <w:rPr>
          <w:sz w:val="22"/>
          <w:szCs w:val="22"/>
        </w:rPr>
        <w:t>”, zrealizowaliśmy</w:t>
      </w:r>
      <w:r w:rsidR="0011191C">
        <w:rPr>
          <w:sz w:val="22"/>
          <w:szCs w:val="22"/>
        </w:rPr>
        <w:t xml:space="preserve"> </w:t>
      </w:r>
      <w:r w:rsidR="00B5403C">
        <w:rPr>
          <w:sz w:val="22"/>
          <w:szCs w:val="22"/>
        </w:rPr>
        <w:t xml:space="preserve"> Osiedle  Krzyszkowicka 7 w Wieliczce  (86 mieszkań ), osiedle „ Aleja Różana „ w Wieliczce (40 mieszkań ),</w:t>
      </w:r>
      <w:r w:rsidR="0011191C">
        <w:rPr>
          <w:sz w:val="22"/>
          <w:szCs w:val="22"/>
        </w:rPr>
        <w:t>osiedle</w:t>
      </w:r>
      <w:r w:rsidR="00A363E8">
        <w:rPr>
          <w:sz w:val="22"/>
          <w:szCs w:val="22"/>
        </w:rPr>
        <w:t xml:space="preserve"> Kasztanowa Polana</w:t>
      </w:r>
      <w:r>
        <w:rPr>
          <w:sz w:val="22"/>
          <w:szCs w:val="22"/>
        </w:rPr>
        <w:t xml:space="preserve"> </w:t>
      </w:r>
      <w:r w:rsidR="00E10D42">
        <w:rPr>
          <w:sz w:val="22"/>
          <w:szCs w:val="22"/>
        </w:rPr>
        <w:t>,</w:t>
      </w:r>
      <w:r>
        <w:rPr>
          <w:sz w:val="22"/>
          <w:szCs w:val="22"/>
        </w:rPr>
        <w:t>Lawendowe Ogrody,</w:t>
      </w:r>
      <w:r w:rsidR="00E10D42">
        <w:rPr>
          <w:sz w:val="22"/>
          <w:szCs w:val="22"/>
        </w:rPr>
        <w:t xml:space="preserve"> Dębowe Wzgórze,</w:t>
      </w:r>
      <w:r w:rsidR="00A20326" w:rsidRPr="00AF384E">
        <w:rPr>
          <w:sz w:val="22"/>
          <w:szCs w:val="22"/>
        </w:rPr>
        <w:t xml:space="preserve"> </w:t>
      </w:r>
      <w:r w:rsidR="0011191C">
        <w:rPr>
          <w:sz w:val="22"/>
          <w:szCs w:val="22"/>
        </w:rPr>
        <w:t xml:space="preserve">Wiśniowa Polana oraz </w:t>
      </w:r>
      <w:r w:rsidR="00A20326" w:rsidRPr="00AF384E">
        <w:rPr>
          <w:sz w:val="22"/>
          <w:szCs w:val="22"/>
        </w:rPr>
        <w:t xml:space="preserve"> „S</w:t>
      </w:r>
      <w:r w:rsidR="00B5403C">
        <w:rPr>
          <w:sz w:val="22"/>
          <w:szCs w:val="22"/>
        </w:rPr>
        <w:t>łoneczne Uroczysko” również w Wieliczce .</w:t>
      </w:r>
    </w:p>
    <w:p w:rsidR="00A20326" w:rsidRPr="00864B67" w:rsidRDefault="00A20326" w:rsidP="00864B67">
      <w:pPr>
        <w:spacing w:line="360" w:lineRule="auto"/>
        <w:ind w:firstLine="360"/>
        <w:jc w:val="center"/>
        <w:rPr>
          <w:sz w:val="22"/>
          <w:szCs w:val="22"/>
        </w:rPr>
      </w:pPr>
    </w:p>
    <w:p w:rsidR="00811A04" w:rsidRPr="00811A04" w:rsidRDefault="00A20326" w:rsidP="00AF384E">
      <w:pPr>
        <w:spacing w:line="360" w:lineRule="auto"/>
        <w:ind w:firstLine="360"/>
        <w:jc w:val="both"/>
        <w:rPr>
          <w:b/>
          <w:sz w:val="22"/>
          <w:szCs w:val="22"/>
        </w:rPr>
      </w:pPr>
      <w:r w:rsidRPr="00864B67">
        <w:rPr>
          <w:sz w:val="22"/>
          <w:szCs w:val="22"/>
        </w:rPr>
        <w:t xml:space="preserve"> </w:t>
      </w:r>
      <w:r w:rsidR="00811A04" w:rsidRPr="00811A04">
        <w:rPr>
          <w:b/>
          <w:sz w:val="22"/>
          <w:szCs w:val="22"/>
        </w:rPr>
        <w:t>Postępowania egzekucyjne:</w:t>
      </w:r>
    </w:p>
    <w:tbl>
      <w:tblPr>
        <w:tblStyle w:val="Tabela-Siatka"/>
        <w:tblW w:w="0" w:type="auto"/>
        <w:tblLook w:val="04A0" w:firstRow="1" w:lastRow="0" w:firstColumn="1" w:lastColumn="0" w:noHBand="0" w:noVBand="1"/>
      </w:tblPr>
      <w:tblGrid>
        <w:gridCol w:w="4605"/>
        <w:gridCol w:w="4605"/>
      </w:tblGrid>
      <w:tr w:rsidR="00811A04" w:rsidRPr="00811A04" w:rsidTr="00F2132F">
        <w:tc>
          <w:tcPr>
            <w:tcW w:w="4605" w:type="dxa"/>
          </w:tcPr>
          <w:p w:rsidR="00811A04" w:rsidRPr="00811A04" w:rsidRDefault="00811A04" w:rsidP="00F2132F">
            <w:pPr>
              <w:spacing w:line="360" w:lineRule="auto"/>
              <w:rPr>
                <w:b/>
              </w:rPr>
            </w:pPr>
            <w:r w:rsidRPr="00811A04">
              <w:t>Czy przeciwko deweloperowi prowadzono (lub prowadzi się) postępowanie egzekucyjne na kwotę powyżej 100.000,00 zł</w:t>
            </w:r>
          </w:p>
        </w:tc>
        <w:tc>
          <w:tcPr>
            <w:tcW w:w="4605" w:type="dxa"/>
          </w:tcPr>
          <w:p w:rsidR="00811A04" w:rsidRPr="00811A04" w:rsidRDefault="00811A04" w:rsidP="00F2132F">
            <w:pPr>
              <w:spacing w:line="360" w:lineRule="auto"/>
              <w:rPr>
                <w:b/>
              </w:rPr>
            </w:pPr>
            <w:r w:rsidRPr="00811A04">
              <w:rPr>
                <w:b/>
              </w:rPr>
              <w:t>Przeciwko deweloperowi NIE prowadzi się ani nie prowadzono takiego postępowania</w:t>
            </w:r>
          </w:p>
        </w:tc>
      </w:tr>
    </w:tbl>
    <w:p w:rsidR="00E62428" w:rsidRPr="00864B67" w:rsidRDefault="000F6367" w:rsidP="00AF384E">
      <w:pPr>
        <w:pStyle w:val="Nagwek2"/>
        <w:numPr>
          <w:ilvl w:val="0"/>
          <w:numId w:val="32"/>
        </w:numPr>
        <w:spacing w:before="480"/>
        <w:ind w:left="714" w:hanging="357"/>
        <w:rPr>
          <w:rFonts w:ascii="Times New Roman" w:hAnsi="Times New Roman" w:cs="Times New Roman"/>
          <w:sz w:val="22"/>
        </w:rPr>
      </w:pPr>
      <w:bookmarkStart w:id="3" w:name="_Toc324755945"/>
      <w:bookmarkStart w:id="4" w:name="_Toc337026256"/>
      <w:r w:rsidRPr="00864B67">
        <w:rPr>
          <w:rFonts w:ascii="Times New Roman" w:hAnsi="Times New Roman" w:cs="Times New Roman"/>
          <w:sz w:val="22"/>
        </w:rPr>
        <w:t>Informacje dotyczące nieruchomości i przedsięwzięcia deweloperskiego</w:t>
      </w:r>
      <w:bookmarkEnd w:id="3"/>
      <w:bookmarkEnd w:id="4"/>
    </w:p>
    <w:p w:rsidR="000F6367" w:rsidRPr="006B26CA" w:rsidRDefault="000F6367" w:rsidP="000F6367">
      <w:pPr>
        <w:spacing w:line="360" w:lineRule="auto"/>
        <w:ind w:firstLine="360"/>
        <w:jc w:val="both"/>
        <w:rPr>
          <w:sz w:val="22"/>
          <w:szCs w:val="22"/>
        </w:rPr>
      </w:pPr>
    </w:p>
    <w:p w:rsidR="000F6367" w:rsidRPr="006B26CA" w:rsidRDefault="000F6367" w:rsidP="000F6367">
      <w:pPr>
        <w:spacing w:line="360" w:lineRule="auto"/>
        <w:ind w:left="348" w:firstLine="360"/>
        <w:jc w:val="both"/>
        <w:rPr>
          <w:sz w:val="22"/>
          <w:szCs w:val="22"/>
        </w:rPr>
      </w:pPr>
      <w:r w:rsidRPr="006B26CA">
        <w:rPr>
          <w:sz w:val="22"/>
          <w:szCs w:val="22"/>
        </w:rPr>
        <w:t xml:space="preserve">Projekt </w:t>
      </w:r>
      <w:r w:rsidR="00864B67" w:rsidRPr="006B26CA">
        <w:rPr>
          <w:sz w:val="22"/>
          <w:szCs w:val="22"/>
        </w:rPr>
        <w:t>„</w:t>
      </w:r>
      <w:r w:rsidR="00B76539">
        <w:rPr>
          <w:sz w:val="22"/>
          <w:szCs w:val="22"/>
        </w:rPr>
        <w:t xml:space="preserve"> Dobrowolskiego 24 </w:t>
      </w:r>
      <w:r w:rsidR="007301D4">
        <w:rPr>
          <w:sz w:val="22"/>
          <w:szCs w:val="22"/>
        </w:rPr>
        <w:t xml:space="preserve"> </w:t>
      </w:r>
      <w:r w:rsidR="00864B67" w:rsidRPr="006B26CA">
        <w:rPr>
          <w:sz w:val="22"/>
          <w:szCs w:val="22"/>
        </w:rPr>
        <w:t>”</w:t>
      </w:r>
      <w:r w:rsidR="00B76539">
        <w:rPr>
          <w:sz w:val="22"/>
          <w:szCs w:val="22"/>
        </w:rPr>
        <w:t xml:space="preserve"> Etap I</w:t>
      </w:r>
      <w:r w:rsidRPr="006B26CA">
        <w:rPr>
          <w:sz w:val="22"/>
          <w:szCs w:val="22"/>
        </w:rPr>
        <w:t xml:space="preserve"> </w:t>
      </w:r>
      <w:r w:rsidR="00C51811" w:rsidRPr="006B26CA">
        <w:rPr>
          <w:sz w:val="22"/>
          <w:szCs w:val="22"/>
        </w:rPr>
        <w:t xml:space="preserve">zlokalizowany jest w </w:t>
      </w:r>
      <w:r w:rsidR="00B76539">
        <w:rPr>
          <w:sz w:val="22"/>
          <w:szCs w:val="22"/>
        </w:rPr>
        <w:t xml:space="preserve">Krakowie przy ul. Antoniego Dobrowolskiego  </w:t>
      </w:r>
      <w:r w:rsidR="00457257">
        <w:rPr>
          <w:sz w:val="22"/>
          <w:szCs w:val="22"/>
        </w:rPr>
        <w:t xml:space="preserve"> </w:t>
      </w:r>
      <w:r w:rsidR="007301D4">
        <w:rPr>
          <w:sz w:val="22"/>
          <w:szCs w:val="22"/>
        </w:rPr>
        <w:t>,</w:t>
      </w:r>
      <w:r w:rsidR="00E10D42">
        <w:rPr>
          <w:sz w:val="22"/>
          <w:szCs w:val="22"/>
        </w:rPr>
        <w:t xml:space="preserve"> </w:t>
      </w:r>
      <w:r w:rsidR="00974118">
        <w:rPr>
          <w:sz w:val="22"/>
          <w:szCs w:val="22"/>
        </w:rPr>
        <w:t xml:space="preserve"> </w:t>
      </w:r>
      <w:r w:rsidR="00C51811" w:rsidRPr="006B26CA">
        <w:rPr>
          <w:sz w:val="22"/>
          <w:szCs w:val="22"/>
        </w:rPr>
        <w:t xml:space="preserve"> </w:t>
      </w:r>
      <w:r w:rsidR="00974118">
        <w:rPr>
          <w:sz w:val="22"/>
          <w:szCs w:val="22"/>
        </w:rPr>
        <w:t>.</w:t>
      </w:r>
      <w:r w:rsidR="00C51811" w:rsidRPr="006B26CA">
        <w:rPr>
          <w:sz w:val="22"/>
          <w:szCs w:val="22"/>
        </w:rPr>
        <w:t>Dokładną lokalizację wskazują poniższe map</w:t>
      </w:r>
      <w:r w:rsidR="00385F5D">
        <w:rPr>
          <w:sz w:val="22"/>
          <w:szCs w:val="22"/>
        </w:rPr>
        <w:t>y</w:t>
      </w:r>
      <w:r w:rsidR="00C51811" w:rsidRPr="006B26CA">
        <w:rPr>
          <w:sz w:val="22"/>
          <w:szCs w:val="22"/>
        </w:rPr>
        <w:t>:</w:t>
      </w:r>
    </w:p>
    <w:p w:rsidR="00974118" w:rsidRDefault="00E17BAB" w:rsidP="008B71A4">
      <w:pPr>
        <w:spacing w:line="360" w:lineRule="auto"/>
        <w:jc w:val="center"/>
        <w:rPr>
          <w:sz w:val="22"/>
          <w:szCs w:val="22"/>
          <w:highlight w:val="yellow"/>
        </w:rPr>
      </w:pPr>
      <w:r>
        <w:rPr>
          <w:noProof/>
          <w:sz w:val="22"/>
          <w:szCs w:val="22"/>
          <w:highlight w:val="yellow"/>
        </w:rPr>
        <w:drawing>
          <wp:inline distT="0" distB="0" distL="0" distR="0">
            <wp:extent cx="6648450" cy="3857625"/>
            <wp:effectExtent l="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3857625"/>
                    </a:xfrm>
                    <a:prstGeom prst="rect">
                      <a:avLst/>
                    </a:prstGeom>
                    <a:noFill/>
                    <a:ln>
                      <a:noFill/>
                    </a:ln>
                  </pic:spPr>
                </pic:pic>
              </a:graphicData>
            </a:graphic>
          </wp:inline>
        </w:drawing>
      </w:r>
    </w:p>
    <w:p w:rsidR="008B71A4" w:rsidRPr="00974118" w:rsidRDefault="008B71A4" w:rsidP="008B71A4">
      <w:pPr>
        <w:spacing w:line="360" w:lineRule="auto"/>
        <w:rPr>
          <w:sz w:val="22"/>
          <w:szCs w:val="22"/>
          <w:highlight w:val="yellow"/>
        </w:rPr>
      </w:pPr>
    </w:p>
    <w:p w:rsidR="007301D4" w:rsidRPr="00931A7D" w:rsidRDefault="00B5403C" w:rsidP="007301D4">
      <w:r>
        <w:lastRenderedPageBreak/>
        <w:t xml:space="preserve">  </w:t>
      </w:r>
      <w:r>
        <w:rPr>
          <w:rFonts w:ascii="Arial Unicode MS" w:eastAsia="Arial Unicode MS" w:hAnsi="Arial Unicode MS" w:cs="Arial Unicode MS"/>
          <w:b/>
          <w:color w:val="000000" w:themeColor="text1"/>
          <w:shd w:val="clear" w:color="auto" w:fill="FFFFFF"/>
        </w:rPr>
        <w:t xml:space="preserve">Dobrowolskiego 24  </w:t>
      </w:r>
      <w:r>
        <w:rPr>
          <w:rFonts w:ascii="Arial Unicode MS" w:eastAsia="Arial Unicode MS" w:hAnsi="Arial Unicode MS" w:cs="Arial Unicode MS"/>
          <w:color w:val="000000" w:themeColor="text1"/>
          <w:shd w:val="clear" w:color="auto" w:fill="FFFFFF"/>
        </w:rPr>
        <w:t xml:space="preserve">to doskonale zlokalizowane osiedle , powstające w  dzielnicy Kraków – Skotniki , które </w:t>
      </w:r>
      <w:r w:rsidRPr="00A324C9">
        <w:rPr>
          <w:rFonts w:ascii="Arial Unicode MS" w:eastAsia="Arial Unicode MS" w:hAnsi="Arial Unicode MS" w:cs="Arial Unicode MS"/>
          <w:color w:val="000000" w:themeColor="text1"/>
          <w:shd w:val="clear" w:color="auto" w:fill="FFFFFF"/>
        </w:rPr>
        <w:t>charakteryzuje ciekawa i nowocz</w:t>
      </w:r>
      <w:r>
        <w:rPr>
          <w:rFonts w:ascii="Arial Unicode MS" w:eastAsia="Arial Unicode MS" w:hAnsi="Arial Unicode MS" w:cs="Arial Unicode MS"/>
          <w:color w:val="000000" w:themeColor="text1"/>
          <w:shd w:val="clear" w:color="auto" w:fill="FFFFFF"/>
        </w:rPr>
        <w:t xml:space="preserve">esna architektura. </w:t>
      </w:r>
    </w:p>
    <w:p w:rsidR="007301D4" w:rsidRPr="00931A7D" w:rsidRDefault="007301D4" w:rsidP="007301D4">
      <w:r w:rsidRPr="00931A7D">
        <w:t xml:space="preserve">Nasza najnowsza inwestycja to nowoczesny kompleks mieszkaniowy o wyjątkowo </w:t>
      </w:r>
      <w:r w:rsidRPr="00931A7D">
        <w:rPr>
          <w:b/>
        </w:rPr>
        <w:t>interesującej i funkcjonalnej zabudowie</w:t>
      </w:r>
      <w:r w:rsidRPr="00931A7D">
        <w:t>. Zna</w:t>
      </w:r>
      <w:r w:rsidR="00B5403C">
        <w:t xml:space="preserve">jdą tutaj Państwo 52 </w:t>
      </w:r>
      <w:r>
        <w:t xml:space="preserve"> </w:t>
      </w:r>
      <w:r w:rsidR="00B5403C">
        <w:t xml:space="preserve">mieszkania i 2 domy , umiejscowione </w:t>
      </w:r>
      <w:r w:rsidRPr="00931A7D">
        <w:t>w</w:t>
      </w:r>
      <w:r w:rsidR="00B5403C">
        <w:t xml:space="preserve">  dwudziestu ośmiu </w:t>
      </w:r>
      <w:r w:rsidR="00A363E8">
        <w:t xml:space="preserve"> </w:t>
      </w:r>
      <w:r>
        <w:t>kameralnych budynkach</w:t>
      </w:r>
      <w:r w:rsidR="00B76539">
        <w:t xml:space="preserve"> jednorodzinnych w zabudowie szeregowej .  Budynki nr  2-27 dwu-lokalowe , znajdujące </w:t>
      </w:r>
      <w:r w:rsidRPr="00931A7D">
        <w:t xml:space="preserve"> się w zapewniającej pełną prywatność zabudowie szeregowej.</w:t>
      </w:r>
      <w:r w:rsidR="00A363E8">
        <w:t xml:space="preserve"> Etap I</w:t>
      </w:r>
      <w:r w:rsidR="00E20090">
        <w:t xml:space="preserve">I </w:t>
      </w:r>
      <w:r w:rsidR="00B76539">
        <w:t>to  14 budynków jednorodzinnych w zabudowie szeregowej w dwóch szeregac</w:t>
      </w:r>
      <w:r w:rsidR="00E20090">
        <w:t>h po 7 budynków, budynki nr 15-27</w:t>
      </w:r>
      <w:r w:rsidR="00B76539">
        <w:t xml:space="preserve"> dwu-lokalowe.</w:t>
      </w:r>
    </w:p>
    <w:p w:rsidR="007301D4" w:rsidRPr="00931A7D" w:rsidRDefault="007301D4" w:rsidP="007301D4">
      <w:r w:rsidRPr="00931A7D">
        <w:t xml:space="preserve">Mieszkania znajdujące się na parterze składają się z </w:t>
      </w:r>
      <w:r w:rsidRPr="00931A7D">
        <w:rPr>
          <w:b/>
        </w:rPr>
        <w:t>3 pokoi</w:t>
      </w:r>
      <w:r w:rsidR="00AE4009">
        <w:t xml:space="preserve"> .</w:t>
      </w:r>
      <w:r w:rsidRPr="00931A7D">
        <w:t xml:space="preserve"> Niewątpliwym atutem jest własn</w:t>
      </w:r>
      <w:r>
        <w:t xml:space="preserve">a „oaza zieleni” czyli </w:t>
      </w:r>
      <w:r w:rsidRPr="00931A7D">
        <w:t>przydomowy ogródek.</w:t>
      </w:r>
    </w:p>
    <w:p w:rsidR="007301D4" w:rsidRDefault="007301D4" w:rsidP="007301D4">
      <w:pPr>
        <w:rPr>
          <w:b/>
        </w:rPr>
      </w:pPr>
      <w:r w:rsidRPr="00931A7D">
        <w:t xml:space="preserve">Na piętrze znajdują się natomiast wyjątkowo przestronne i nowoczesne </w:t>
      </w:r>
      <w:r w:rsidRPr="00931A7D">
        <w:rPr>
          <w:b/>
        </w:rPr>
        <w:t>mieszkania dwupoziomowe</w:t>
      </w:r>
      <w:r w:rsidR="00AE4009">
        <w:t xml:space="preserve"> </w:t>
      </w:r>
      <w:r w:rsidR="00190525">
        <w:rPr>
          <w:b/>
        </w:rPr>
        <w:t>z możliwością aranżacji poddasza pod własny indywidualny projekt .</w:t>
      </w:r>
    </w:p>
    <w:p w:rsidR="00190525" w:rsidRDefault="00190525" w:rsidP="007301D4">
      <w:pPr>
        <w:rPr>
          <w:b/>
        </w:rPr>
      </w:pPr>
    </w:p>
    <w:p w:rsidR="0058754C" w:rsidRPr="00931A7D" w:rsidRDefault="0058754C" w:rsidP="007301D4">
      <w:r>
        <w:rPr>
          <w:b/>
        </w:rPr>
        <w:t xml:space="preserve">Do każdego mieszkania w </w:t>
      </w:r>
      <w:r w:rsidR="00190525">
        <w:rPr>
          <w:b/>
        </w:rPr>
        <w:t xml:space="preserve">podanej cenie </w:t>
      </w:r>
      <w:r>
        <w:rPr>
          <w:b/>
        </w:rPr>
        <w:t>przynależy 1 miejsce parkingowe zlokalizowane bezpośrednio przed budynkiem .</w:t>
      </w:r>
      <w:r w:rsidR="00C268CA">
        <w:rPr>
          <w:b/>
        </w:rPr>
        <w:t xml:space="preserve"> </w:t>
      </w:r>
    </w:p>
    <w:p w:rsidR="00974118" w:rsidRPr="00457257" w:rsidRDefault="00974118" w:rsidP="007301D4">
      <w:pPr>
        <w:rPr>
          <w:rFonts w:eastAsia="SimSun" w:cs="Mangal"/>
          <w:kern w:val="1"/>
          <w:lang w:eastAsia="hi-IN" w:bidi="hi-IN"/>
        </w:rPr>
      </w:pPr>
    </w:p>
    <w:p w:rsidR="008E38B9" w:rsidRPr="008E38B9" w:rsidRDefault="008E38B9" w:rsidP="00974118">
      <w:pPr>
        <w:spacing w:line="360" w:lineRule="auto"/>
        <w:ind w:firstLine="360"/>
        <w:jc w:val="both"/>
        <w:rPr>
          <w:sz w:val="22"/>
          <w:szCs w:val="22"/>
        </w:rPr>
      </w:pPr>
    </w:p>
    <w:p w:rsidR="0058754C" w:rsidRPr="0058754C" w:rsidRDefault="002D6530" w:rsidP="0058754C">
      <w:pPr>
        <w:spacing w:line="360" w:lineRule="auto"/>
        <w:ind w:firstLine="360"/>
        <w:jc w:val="both"/>
        <w:rPr>
          <w:b/>
          <w:sz w:val="22"/>
          <w:szCs w:val="22"/>
        </w:rPr>
      </w:pPr>
      <w:r w:rsidRPr="00A50A91">
        <w:rPr>
          <w:sz w:val="22"/>
          <w:szCs w:val="22"/>
        </w:rPr>
        <w:t>W ramach przedsięwzięcia dewelo</w:t>
      </w:r>
      <w:r w:rsidR="007301D4">
        <w:rPr>
          <w:sz w:val="22"/>
          <w:szCs w:val="22"/>
        </w:rPr>
        <w:t>perskieg</w:t>
      </w:r>
      <w:r w:rsidR="00A363E8">
        <w:rPr>
          <w:sz w:val="22"/>
          <w:szCs w:val="22"/>
        </w:rPr>
        <w:t>o, deweloper</w:t>
      </w:r>
      <w:r w:rsidR="0086402F">
        <w:rPr>
          <w:sz w:val="22"/>
          <w:szCs w:val="22"/>
        </w:rPr>
        <w:t xml:space="preserve"> w I</w:t>
      </w:r>
      <w:r w:rsidR="00E20090">
        <w:rPr>
          <w:sz w:val="22"/>
          <w:szCs w:val="22"/>
        </w:rPr>
        <w:t>I</w:t>
      </w:r>
      <w:r w:rsidR="0058754C">
        <w:rPr>
          <w:sz w:val="22"/>
          <w:szCs w:val="22"/>
        </w:rPr>
        <w:t xml:space="preserve"> etapie zrealizuje 14  budynków </w:t>
      </w:r>
      <w:r w:rsidR="007301D4">
        <w:rPr>
          <w:sz w:val="22"/>
          <w:szCs w:val="22"/>
        </w:rPr>
        <w:t xml:space="preserve"> jednorodzinn</w:t>
      </w:r>
      <w:r w:rsidR="0058754C">
        <w:rPr>
          <w:sz w:val="22"/>
          <w:szCs w:val="22"/>
        </w:rPr>
        <w:t xml:space="preserve">ych </w:t>
      </w:r>
      <w:r w:rsidR="00DF7A5B">
        <w:rPr>
          <w:sz w:val="22"/>
          <w:szCs w:val="22"/>
        </w:rPr>
        <w:t xml:space="preserve"> </w:t>
      </w:r>
      <w:r w:rsidR="007301D4">
        <w:rPr>
          <w:sz w:val="22"/>
          <w:szCs w:val="22"/>
        </w:rPr>
        <w:t xml:space="preserve">w zabudowie szeregowej </w:t>
      </w:r>
      <w:r w:rsidR="00E20090">
        <w:rPr>
          <w:sz w:val="22"/>
          <w:szCs w:val="22"/>
        </w:rPr>
        <w:t xml:space="preserve">,budynki nr 15-27 </w:t>
      </w:r>
      <w:r w:rsidR="00190525">
        <w:rPr>
          <w:sz w:val="22"/>
          <w:szCs w:val="22"/>
        </w:rPr>
        <w:t xml:space="preserve">dwu-lokalowe </w:t>
      </w:r>
      <w:r w:rsidR="00AB6C96">
        <w:rPr>
          <w:sz w:val="22"/>
          <w:szCs w:val="22"/>
        </w:rPr>
        <w:t xml:space="preserve"> pod nazwą „</w:t>
      </w:r>
      <w:r w:rsidR="0058754C">
        <w:rPr>
          <w:sz w:val="22"/>
          <w:szCs w:val="22"/>
        </w:rPr>
        <w:t xml:space="preserve">  </w:t>
      </w:r>
      <w:r w:rsidR="0058754C">
        <w:rPr>
          <w:b/>
          <w:sz w:val="22"/>
          <w:szCs w:val="22"/>
        </w:rPr>
        <w:t>DOBROWOLSKIEGO 24  I</w:t>
      </w:r>
      <w:r w:rsidR="00E20090">
        <w:rPr>
          <w:b/>
          <w:sz w:val="22"/>
          <w:szCs w:val="22"/>
        </w:rPr>
        <w:t>I</w:t>
      </w:r>
      <w:r w:rsidR="0058754C">
        <w:rPr>
          <w:b/>
          <w:sz w:val="22"/>
          <w:szCs w:val="22"/>
        </w:rPr>
        <w:t xml:space="preserve">  ETAP </w:t>
      </w:r>
    </w:p>
    <w:p w:rsidR="0058754C" w:rsidRDefault="0058754C" w:rsidP="0058754C">
      <w:pPr>
        <w:spacing w:line="360" w:lineRule="auto"/>
        <w:ind w:firstLine="360"/>
        <w:jc w:val="both"/>
        <w:rPr>
          <w:sz w:val="22"/>
          <w:szCs w:val="22"/>
        </w:rPr>
      </w:pP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BUDOWA ZESPOŁU 28 BUDYNKÓW JEDNORODZINNYCH W ZABUDOWIE SZEREGOWEJ: BUDYNKI NR 1-7, 8-14, 15-21, 22-28</w:t>
      </w: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(BUDYNKI 2-27 DWULOKALOWE)</w:t>
      </w: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WRAZ Z INSTALACJAMI WEWNĘTRZNYMI:</w:t>
      </w: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WOD.-KAN., C.O., GAZOWĄ, ELEKTRYCZNĄ,</w:t>
      </w: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WEWNĘTRZNYMI LINIAMI ZASILAJĄCYMI ELEKTRYCZNYMI</w:t>
      </w: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ORAZ</w:t>
      </w: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 xml:space="preserve">ZAGOSPODAROWANIE TERENU POD DROGĘ WEWNĘTRZNĄ, CHODNIKI, PARKINGI </w:t>
      </w: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NA DZ. NR: 204/6, 204/7, 204/8, 204/9, 205 OBR. 4 PODGÓRZE</w:t>
      </w: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PRZY UL. DOBROWOLSKIEGO W KRAKOWIE.</w:t>
      </w:r>
    </w:p>
    <w:p w:rsidR="0058754C" w:rsidRPr="0058754C" w:rsidRDefault="0058754C" w:rsidP="0058754C">
      <w:pPr>
        <w:autoSpaceDE w:val="0"/>
        <w:autoSpaceDN w:val="0"/>
        <w:adjustRightInd w:val="0"/>
        <w:rPr>
          <w:rFonts w:ascii="Arial" w:eastAsiaTheme="minorHAnsi" w:hAnsi="Arial" w:cs="Arial"/>
          <w:b/>
          <w:sz w:val="20"/>
          <w:szCs w:val="20"/>
          <w:lang w:eastAsia="en-US"/>
        </w:rPr>
      </w:pP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BUDOWA WJAZDU Z DZ. DROGOWEJ NR 278/1 NA DZ. NR 204/9</w:t>
      </w:r>
    </w:p>
    <w:p w:rsidR="0058754C" w:rsidRPr="0058754C" w:rsidRDefault="0058754C" w:rsidP="0058754C">
      <w:pPr>
        <w:autoSpaceDE w:val="0"/>
        <w:autoSpaceDN w:val="0"/>
        <w:adjustRightInd w:val="0"/>
        <w:jc w:val="center"/>
        <w:rPr>
          <w:rFonts w:ascii="Arial" w:eastAsiaTheme="minorHAnsi" w:hAnsi="Arial" w:cs="Arial"/>
          <w:b/>
          <w:sz w:val="20"/>
          <w:szCs w:val="20"/>
          <w:lang w:eastAsia="en-US"/>
        </w:rPr>
      </w:pPr>
      <w:r w:rsidRPr="0058754C">
        <w:rPr>
          <w:rFonts w:ascii="Arial" w:eastAsiaTheme="minorHAnsi" w:hAnsi="Arial" w:cs="Arial"/>
          <w:b/>
          <w:sz w:val="20"/>
          <w:szCs w:val="20"/>
          <w:lang w:eastAsia="en-US"/>
        </w:rPr>
        <w:t>OBR. 4 PODGÓRZE W KRAKOWIE.</w:t>
      </w:r>
    </w:p>
    <w:p w:rsidR="0058754C" w:rsidRDefault="0058754C" w:rsidP="0058754C">
      <w:pPr>
        <w:spacing w:line="360" w:lineRule="auto"/>
        <w:jc w:val="both"/>
        <w:rPr>
          <w:sz w:val="22"/>
          <w:szCs w:val="22"/>
        </w:rPr>
      </w:pPr>
    </w:p>
    <w:p w:rsidR="00537A9E" w:rsidRDefault="00537A9E" w:rsidP="0058754C">
      <w:pPr>
        <w:ind w:left="360"/>
        <w:jc w:val="center"/>
        <w:rPr>
          <w:rFonts w:ascii="Arial" w:hAnsi="Arial" w:cs="Arial"/>
          <w:b/>
          <w:bCs/>
          <w:sz w:val="19"/>
          <w:szCs w:val="19"/>
        </w:rPr>
      </w:pPr>
      <w:r>
        <w:rPr>
          <w:rFonts w:ascii="Arial" w:hAnsi="Arial" w:cs="Arial"/>
          <w:b/>
          <w:bCs/>
          <w:sz w:val="18"/>
          <w:szCs w:val="18"/>
        </w:rPr>
        <w:tab/>
      </w:r>
    </w:p>
    <w:p w:rsidR="00E2135D" w:rsidRPr="00537A9E" w:rsidRDefault="00E2135D" w:rsidP="00537A9E">
      <w:pPr>
        <w:tabs>
          <w:tab w:val="left" w:pos="180"/>
        </w:tabs>
        <w:rPr>
          <w:rFonts w:ascii="Arial" w:hAnsi="Arial" w:cs="Arial"/>
          <w:b/>
          <w:bCs/>
          <w:sz w:val="18"/>
          <w:szCs w:val="18"/>
        </w:rPr>
      </w:pPr>
    </w:p>
    <w:p w:rsidR="00C51811" w:rsidRPr="00D337A0" w:rsidRDefault="00C51811" w:rsidP="008E38C9">
      <w:pPr>
        <w:spacing w:line="360" w:lineRule="auto"/>
        <w:ind w:firstLine="360"/>
        <w:jc w:val="both"/>
        <w:rPr>
          <w:sz w:val="22"/>
          <w:szCs w:val="22"/>
        </w:rPr>
      </w:pPr>
    </w:p>
    <w:p w:rsidR="008E786B" w:rsidRPr="007301D4" w:rsidRDefault="008E786B" w:rsidP="007301D4">
      <w:pPr>
        <w:pStyle w:val="NormalnyWeb"/>
        <w:spacing w:before="0" w:beforeAutospacing="0" w:after="0" w:afterAutospacing="0" w:line="276" w:lineRule="auto"/>
        <w:ind w:left="386"/>
      </w:pPr>
    </w:p>
    <w:p w:rsidR="002D6530" w:rsidRPr="009A0A02" w:rsidRDefault="002D6530" w:rsidP="009A65DF">
      <w:pPr>
        <w:spacing w:line="360" w:lineRule="auto"/>
        <w:rPr>
          <w:sz w:val="22"/>
          <w:szCs w:val="22"/>
        </w:rPr>
      </w:pPr>
    </w:p>
    <w:p w:rsidR="00E62428" w:rsidRPr="009A0A02" w:rsidRDefault="00F22AB7" w:rsidP="009A65DF">
      <w:pPr>
        <w:spacing w:line="360" w:lineRule="auto"/>
        <w:rPr>
          <w:b/>
          <w:sz w:val="22"/>
          <w:szCs w:val="22"/>
        </w:rPr>
      </w:pPr>
      <w:r w:rsidRPr="009A0A02">
        <w:rPr>
          <w:b/>
          <w:sz w:val="22"/>
          <w:szCs w:val="22"/>
        </w:rPr>
        <w:t>Informacje dotyczące gruntu:</w:t>
      </w:r>
    </w:p>
    <w:p w:rsidR="00C60D3A" w:rsidRPr="009A0A02" w:rsidRDefault="00C60D3A" w:rsidP="00E601B7">
      <w:pPr>
        <w:rPr>
          <w:b/>
          <w:sz w:val="22"/>
          <w:szCs w:val="22"/>
        </w:rPr>
      </w:pPr>
    </w:p>
    <w:tbl>
      <w:tblPr>
        <w:tblStyle w:val="Tabela-Siatka"/>
        <w:tblpPr w:leftFromText="141" w:rightFromText="141" w:vertAnchor="text" w:tblpY="1"/>
        <w:tblOverlap w:val="never"/>
        <w:tblW w:w="0" w:type="auto"/>
        <w:tblLook w:val="04A0" w:firstRow="1" w:lastRow="0" w:firstColumn="1" w:lastColumn="0" w:noHBand="0" w:noVBand="1"/>
      </w:tblPr>
      <w:tblGrid>
        <w:gridCol w:w="3936"/>
        <w:gridCol w:w="5274"/>
      </w:tblGrid>
      <w:tr w:rsidR="001E6391" w:rsidRPr="009A0A02" w:rsidTr="000A787E">
        <w:tc>
          <w:tcPr>
            <w:tcW w:w="3936" w:type="dxa"/>
          </w:tcPr>
          <w:p w:rsidR="001E6391" w:rsidRPr="00BB012B" w:rsidRDefault="001E6391" w:rsidP="000A787E">
            <w:pPr>
              <w:spacing w:line="360" w:lineRule="auto"/>
              <w:rPr>
                <w:b/>
              </w:rPr>
            </w:pPr>
            <w:r w:rsidRPr="00BB012B">
              <w:t>Adres i nr działki ewidencyjnej</w:t>
            </w:r>
          </w:p>
        </w:tc>
        <w:tc>
          <w:tcPr>
            <w:tcW w:w="5274" w:type="dxa"/>
          </w:tcPr>
          <w:p w:rsidR="001E6391" w:rsidRDefault="001E6391" w:rsidP="000A787E">
            <w:pPr>
              <w:spacing w:line="360" w:lineRule="auto"/>
              <w:jc w:val="both"/>
            </w:pPr>
            <w:r w:rsidRPr="00BB012B">
              <w:t>Inwestycja zosta</w:t>
            </w:r>
            <w:r w:rsidR="00FA33EF">
              <w:t xml:space="preserve">nie zrealizowana na dz. </w:t>
            </w:r>
            <w:r w:rsidR="00C01253">
              <w:t>ew</w:t>
            </w:r>
            <w:r w:rsidR="0058754C">
              <w:t xml:space="preserve">. nr </w:t>
            </w:r>
          </w:p>
          <w:p w:rsidR="00190525" w:rsidRPr="00BB012B" w:rsidRDefault="00190525" w:rsidP="000A787E">
            <w:pPr>
              <w:spacing w:line="360" w:lineRule="auto"/>
              <w:jc w:val="both"/>
            </w:pPr>
            <w:r>
              <w:t xml:space="preserve">204/6, 204/7, 204/8, 204/9, 205 </w:t>
            </w:r>
          </w:p>
        </w:tc>
      </w:tr>
      <w:tr w:rsidR="00F22AB7" w:rsidRPr="00E354A7" w:rsidTr="000A787E">
        <w:tc>
          <w:tcPr>
            <w:tcW w:w="3936" w:type="dxa"/>
          </w:tcPr>
          <w:p w:rsidR="00F22AB7" w:rsidRPr="00EA6EA1" w:rsidRDefault="00F22AB7" w:rsidP="000A787E">
            <w:pPr>
              <w:spacing w:line="360" w:lineRule="auto"/>
              <w:rPr>
                <w:b/>
              </w:rPr>
            </w:pPr>
            <w:r w:rsidRPr="00EA6EA1">
              <w:lastRenderedPageBreak/>
              <w:t>Nr księgi wieczystej</w:t>
            </w:r>
          </w:p>
        </w:tc>
        <w:tc>
          <w:tcPr>
            <w:tcW w:w="5274" w:type="dxa"/>
          </w:tcPr>
          <w:p w:rsidR="00440112" w:rsidRPr="00B33AF1" w:rsidRDefault="00B33AF1" w:rsidP="000A787E">
            <w:pPr>
              <w:spacing w:line="360" w:lineRule="auto"/>
            </w:pPr>
            <w:r w:rsidRPr="00B33AF1">
              <w:t>KR1P/00052096/3</w:t>
            </w:r>
          </w:p>
        </w:tc>
      </w:tr>
      <w:tr w:rsidR="00F22AB7" w:rsidRPr="00E354A7" w:rsidTr="000A787E">
        <w:tc>
          <w:tcPr>
            <w:tcW w:w="3936" w:type="dxa"/>
          </w:tcPr>
          <w:p w:rsidR="00F22AB7" w:rsidRPr="00EA6EA1" w:rsidRDefault="00F22AB7" w:rsidP="000A787E">
            <w:pPr>
              <w:spacing w:line="360" w:lineRule="auto"/>
              <w:rPr>
                <w:b/>
              </w:rPr>
            </w:pPr>
            <w:r w:rsidRPr="00EA6EA1">
              <w:t>Istniejące obciążenie hipoteczne lub wnioski o wpis w dziale czwartym księgi wieczystej</w:t>
            </w:r>
          </w:p>
        </w:tc>
        <w:tc>
          <w:tcPr>
            <w:tcW w:w="5274" w:type="dxa"/>
          </w:tcPr>
          <w:p w:rsidR="00F22AB7" w:rsidRPr="00EA6EA1" w:rsidRDefault="009A0A02" w:rsidP="000A787E">
            <w:pPr>
              <w:spacing w:line="360" w:lineRule="auto"/>
              <w:jc w:val="both"/>
            </w:pPr>
            <w:r w:rsidRPr="00EA6EA1">
              <w:t>Na dzień sporządzenia niniejszego prospektu, brak obciążeń hipotecznych lub wniosków w dziale czwartym księgi wieczystej</w:t>
            </w:r>
          </w:p>
        </w:tc>
      </w:tr>
      <w:tr w:rsidR="00F22AB7" w:rsidRPr="00E354A7" w:rsidTr="000A787E">
        <w:tc>
          <w:tcPr>
            <w:tcW w:w="3936" w:type="dxa"/>
          </w:tcPr>
          <w:p w:rsidR="00F22AB7" w:rsidRPr="00EA6EA1" w:rsidRDefault="00F22AB7" w:rsidP="000A787E">
            <w:pPr>
              <w:spacing w:line="360" w:lineRule="auto"/>
              <w:rPr>
                <w:b/>
              </w:rPr>
            </w:pPr>
            <w:r w:rsidRPr="00EA6EA1">
              <w:t>Plan zagospodarowania przestrzennego dla sąsiadujących działek</w:t>
            </w:r>
          </w:p>
        </w:tc>
        <w:tc>
          <w:tcPr>
            <w:tcW w:w="5274" w:type="dxa"/>
          </w:tcPr>
          <w:p w:rsidR="007A6572" w:rsidRPr="00EA6EA1" w:rsidRDefault="0058754C" w:rsidP="000A787E">
            <w:pPr>
              <w:spacing w:line="360" w:lineRule="auto"/>
            </w:pPr>
            <w:r>
              <w:t xml:space="preserve">– Brak MPZP </w:t>
            </w:r>
          </w:p>
        </w:tc>
      </w:tr>
      <w:tr w:rsidR="00F22AB7" w:rsidRPr="00E354A7" w:rsidTr="000A787E">
        <w:tc>
          <w:tcPr>
            <w:tcW w:w="3936" w:type="dxa"/>
          </w:tcPr>
          <w:p w:rsidR="00F22AB7" w:rsidRPr="009B0FAD" w:rsidRDefault="00F22AB7" w:rsidP="000A787E">
            <w:pPr>
              <w:spacing w:line="360" w:lineRule="auto"/>
              <w:jc w:val="both"/>
              <w:rPr>
                <w:b/>
              </w:rPr>
            </w:pPr>
            <w:r w:rsidRPr="009B0FAD">
              <w:t>Informacje zawarte w publicznie dostępnych dokumentach dotyczących przewidywanych inwestycji w promieniu 1 km od przedmiotowej nieruchomości, w szczególności o budowie lub rozbudowie dróg, budowie linii szynowych oraz przewidzianych korytarzach powietrznych, a także znanych innych inwestycjach komunalnych, w szczególności oczyszczalniach ścieków, spalarniach śmieci, wysypiskach, cmentarzach</w:t>
            </w:r>
          </w:p>
        </w:tc>
        <w:tc>
          <w:tcPr>
            <w:tcW w:w="5274" w:type="dxa"/>
          </w:tcPr>
          <w:p w:rsidR="007052FE" w:rsidRDefault="00901651" w:rsidP="003C323D">
            <w:pPr>
              <w:spacing w:line="360" w:lineRule="auto"/>
            </w:pPr>
            <w:r>
              <w:t>Według najlepszej wiedzy dewelopera w promieniu 1 km od projektu plano</w:t>
            </w:r>
            <w:r w:rsidR="003C323D">
              <w:t>wane są następujące inwestycj</w:t>
            </w:r>
            <w:r w:rsidR="00C268CA">
              <w:t>e</w:t>
            </w:r>
            <w:r w:rsidR="003C323D">
              <w:t>:</w:t>
            </w:r>
          </w:p>
          <w:p w:rsidR="003C323D" w:rsidRDefault="003C323D" w:rsidP="003C323D">
            <w:pPr>
              <w:spacing w:line="360" w:lineRule="auto"/>
            </w:pPr>
            <w:r>
              <w:t xml:space="preserve">Budowa osiedla Nowe Skotniki </w:t>
            </w:r>
          </w:p>
          <w:p w:rsidR="003C323D" w:rsidRPr="009B0FAD" w:rsidRDefault="003C323D" w:rsidP="003C323D">
            <w:pPr>
              <w:spacing w:line="360" w:lineRule="auto"/>
            </w:pPr>
            <w:r>
              <w:t xml:space="preserve">Budowa osiedla Zielona Polana </w:t>
            </w:r>
          </w:p>
        </w:tc>
      </w:tr>
    </w:tbl>
    <w:p w:rsidR="00F22AB7" w:rsidRPr="00E354A7" w:rsidRDefault="000A787E" w:rsidP="009A65DF">
      <w:pPr>
        <w:spacing w:line="360" w:lineRule="auto"/>
        <w:rPr>
          <w:b/>
          <w:sz w:val="22"/>
          <w:szCs w:val="22"/>
          <w:highlight w:val="yellow"/>
        </w:rPr>
      </w:pPr>
      <w:r>
        <w:rPr>
          <w:b/>
          <w:sz w:val="22"/>
          <w:szCs w:val="22"/>
          <w:highlight w:val="yellow"/>
        </w:rPr>
        <w:br w:type="textWrapping" w:clear="all"/>
      </w:r>
    </w:p>
    <w:p w:rsidR="00F22AB7" w:rsidRDefault="00F22AB7" w:rsidP="00E601B7">
      <w:pPr>
        <w:spacing w:after="200"/>
        <w:rPr>
          <w:b/>
          <w:sz w:val="22"/>
          <w:szCs w:val="22"/>
        </w:rPr>
      </w:pPr>
      <w:r w:rsidRPr="00095BAF">
        <w:rPr>
          <w:b/>
          <w:sz w:val="22"/>
          <w:szCs w:val="22"/>
        </w:rPr>
        <w:t>Informacje dotyczące budynku</w:t>
      </w:r>
    </w:p>
    <w:p w:rsidR="00E601B7" w:rsidRPr="00095BAF" w:rsidRDefault="00E601B7" w:rsidP="00E601B7">
      <w:pPr>
        <w:tabs>
          <w:tab w:val="left" w:pos="1552"/>
        </w:tabs>
        <w:spacing w:after="200"/>
        <w:rPr>
          <w:b/>
          <w:sz w:val="22"/>
          <w:szCs w:val="22"/>
        </w:rPr>
      </w:pPr>
      <w:r>
        <w:rPr>
          <w:b/>
          <w:sz w:val="22"/>
          <w:szCs w:val="22"/>
        </w:rPr>
        <w:tab/>
      </w:r>
    </w:p>
    <w:tbl>
      <w:tblPr>
        <w:tblStyle w:val="Tabela-Siatka"/>
        <w:tblW w:w="0" w:type="auto"/>
        <w:tblLook w:val="04A0" w:firstRow="1" w:lastRow="0" w:firstColumn="1" w:lastColumn="0" w:noHBand="0" w:noVBand="1"/>
      </w:tblPr>
      <w:tblGrid>
        <w:gridCol w:w="3936"/>
        <w:gridCol w:w="2126"/>
        <w:gridCol w:w="3148"/>
      </w:tblGrid>
      <w:tr w:rsidR="0043107D" w:rsidRPr="00095BAF" w:rsidTr="00C13601">
        <w:tc>
          <w:tcPr>
            <w:tcW w:w="3936" w:type="dxa"/>
          </w:tcPr>
          <w:p w:rsidR="0043107D" w:rsidRPr="00EA6EA1" w:rsidRDefault="0043107D" w:rsidP="009A65DF">
            <w:pPr>
              <w:spacing w:line="360" w:lineRule="auto"/>
              <w:jc w:val="both"/>
              <w:rPr>
                <w:b/>
              </w:rPr>
            </w:pPr>
            <w:r w:rsidRPr="00EA6EA1">
              <w:t>Czy jest pozwolenie na budowę</w:t>
            </w:r>
          </w:p>
        </w:tc>
        <w:tc>
          <w:tcPr>
            <w:tcW w:w="5274" w:type="dxa"/>
            <w:gridSpan w:val="2"/>
          </w:tcPr>
          <w:p w:rsidR="00F22AB7" w:rsidRPr="00EA6EA1" w:rsidRDefault="007A64EC" w:rsidP="00FF6611">
            <w:pPr>
              <w:tabs>
                <w:tab w:val="left" w:pos="784"/>
              </w:tabs>
              <w:spacing w:line="360" w:lineRule="auto"/>
            </w:pPr>
            <w:r>
              <w:t>TAK</w:t>
            </w:r>
          </w:p>
        </w:tc>
      </w:tr>
      <w:tr w:rsidR="0043107D" w:rsidRPr="00095BAF" w:rsidTr="00C13601">
        <w:tc>
          <w:tcPr>
            <w:tcW w:w="3936" w:type="dxa"/>
          </w:tcPr>
          <w:p w:rsidR="0043107D" w:rsidRPr="00EA6EA1" w:rsidRDefault="0043107D" w:rsidP="009A65DF">
            <w:pPr>
              <w:spacing w:line="360" w:lineRule="auto"/>
              <w:jc w:val="both"/>
              <w:rPr>
                <w:b/>
              </w:rPr>
            </w:pPr>
            <w:r w:rsidRPr="00EA6EA1">
              <w:t>Czy pozwolenie na budowę jest ostateczne</w:t>
            </w:r>
          </w:p>
        </w:tc>
        <w:tc>
          <w:tcPr>
            <w:tcW w:w="5274" w:type="dxa"/>
            <w:gridSpan w:val="2"/>
          </w:tcPr>
          <w:p w:rsidR="0043107D" w:rsidRPr="00EA6EA1" w:rsidRDefault="007A64EC" w:rsidP="00FF6611">
            <w:pPr>
              <w:tabs>
                <w:tab w:val="left" w:pos="784"/>
              </w:tabs>
              <w:spacing w:line="360" w:lineRule="auto"/>
            </w:pPr>
            <w:r>
              <w:t>TAK</w:t>
            </w:r>
            <w:r w:rsidR="00715196">
              <w:tab/>
            </w:r>
          </w:p>
        </w:tc>
      </w:tr>
      <w:tr w:rsidR="0043107D" w:rsidRPr="00E354A7" w:rsidTr="00C13601">
        <w:tc>
          <w:tcPr>
            <w:tcW w:w="3936" w:type="dxa"/>
          </w:tcPr>
          <w:p w:rsidR="00352C11" w:rsidRDefault="00352C11" w:rsidP="009A65DF">
            <w:pPr>
              <w:spacing w:line="360" w:lineRule="auto"/>
              <w:jc w:val="both"/>
            </w:pPr>
            <w:r>
              <w:t>Czy pozwolenie na budowę jest</w:t>
            </w:r>
          </w:p>
          <w:p w:rsidR="0043107D" w:rsidRPr="00EA6EA1" w:rsidRDefault="0043107D" w:rsidP="009A65DF">
            <w:pPr>
              <w:spacing w:line="360" w:lineRule="auto"/>
              <w:jc w:val="both"/>
              <w:rPr>
                <w:b/>
              </w:rPr>
            </w:pPr>
            <w:r w:rsidRPr="00EA6EA1">
              <w:t>zaskarżone</w:t>
            </w:r>
          </w:p>
        </w:tc>
        <w:tc>
          <w:tcPr>
            <w:tcW w:w="5274" w:type="dxa"/>
            <w:gridSpan w:val="2"/>
          </w:tcPr>
          <w:p w:rsidR="0043107D" w:rsidRPr="00EA6EA1" w:rsidRDefault="007A64EC" w:rsidP="00FF6611">
            <w:pPr>
              <w:tabs>
                <w:tab w:val="left" w:pos="817"/>
              </w:tabs>
              <w:spacing w:line="360" w:lineRule="auto"/>
            </w:pPr>
            <w:r>
              <w:t>NIE</w:t>
            </w:r>
          </w:p>
        </w:tc>
      </w:tr>
      <w:tr w:rsidR="0043107D" w:rsidRPr="00E354A7" w:rsidTr="00C13601">
        <w:tc>
          <w:tcPr>
            <w:tcW w:w="3936" w:type="dxa"/>
          </w:tcPr>
          <w:p w:rsidR="0043107D" w:rsidRPr="00EA6EA1" w:rsidRDefault="0043107D" w:rsidP="009A65DF">
            <w:pPr>
              <w:spacing w:line="360" w:lineRule="auto"/>
              <w:jc w:val="both"/>
              <w:rPr>
                <w:b/>
              </w:rPr>
            </w:pPr>
            <w:r w:rsidRPr="00EA6EA1">
              <w:t>Nr pozwolenia na budowę oraz nazwa organu, który je wydał</w:t>
            </w:r>
          </w:p>
        </w:tc>
        <w:tc>
          <w:tcPr>
            <w:tcW w:w="5274" w:type="dxa"/>
            <w:gridSpan w:val="2"/>
          </w:tcPr>
          <w:p w:rsidR="003C323D" w:rsidRPr="00EA6EA1" w:rsidRDefault="000C5661" w:rsidP="00F2132F">
            <w:pPr>
              <w:spacing w:line="360" w:lineRule="auto"/>
              <w:jc w:val="both"/>
            </w:pPr>
            <w:r>
              <w:t xml:space="preserve"> </w:t>
            </w:r>
            <w:r w:rsidR="00B33AF1">
              <w:t>770/6740.1/2018 Prezydenta Miasta Krakowa z dnia 25.04.2018</w:t>
            </w:r>
          </w:p>
        </w:tc>
      </w:tr>
      <w:tr w:rsidR="0043107D" w:rsidRPr="00E354A7" w:rsidTr="00C13601">
        <w:tc>
          <w:tcPr>
            <w:tcW w:w="3936" w:type="dxa"/>
          </w:tcPr>
          <w:p w:rsidR="0043107D" w:rsidRPr="00EA6EA1" w:rsidRDefault="0043107D" w:rsidP="009A65DF">
            <w:pPr>
              <w:spacing w:line="360" w:lineRule="auto"/>
              <w:jc w:val="both"/>
              <w:rPr>
                <w:b/>
                <w:highlight w:val="yellow"/>
              </w:rPr>
            </w:pPr>
            <w:r w:rsidRPr="00EA6EA1">
              <w:t>Planowany termin rozpoczęcia i zakończenia praz budowlanych</w:t>
            </w:r>
          </w:p>
        </w:tc>
        <w:tc>
          <w:tcPr>
            <w:tcW w:w="5274" w:type="dxa"/>
            <w:gridSpan w:val="2"/>
          </w:tcPr>
          <w:p w:rsidR="00352C11" w:rsidRPr="00BC56DB" w:rsidRDefault="00190525" w:rsidP="00A1261F">
            <w:pPr>
              <w:spacing w:line="360" w:lineRule="auto"/>
            </w:pPr>
            <w:r>
              <w:t>Rozpoczęcie prac budowlanych</w:t>
            </w:r>
            <w:r w:rsidR="000F52CB">
              <w:t xml:space="preserve"> I</w:t>
            </w:r>
            <w:r w:rsidR="00E20090">
              <w:t>I</w:t>
            </w:r>
            <w:r w:rsidR="000F52CB">
              <w:t xml:space="preserve"> etapu  nastąpi  od </w:t>
            </w:r>
            <w:r w:rsidR="00E20090">
              <w:t xml:space="preserve"> 03.09</w:t>
            </w:r>
            <w:r>
              <w:t xml:space="preserve">.2018 </w:t>
            </w:r>
            <w:r w:rsidR="00E20090">
              <w:t>a zakończenie  31.12</w:t>
            </w:r>
            <w:r w:rsidR="000F52CB">
              <w:t xml:space="preserve">.2019 r </w:t>
            </w:r>
          </w:p>
        </w:tc>
      </w:tr>
      <w:tr w:rsidR="0043107D" w:rsidRPr="00E354A7" w:rsidTr="00C13601">
        <w:tc>
          <w:tcPr>
            <w:tcW w:w="3936" w:type="dxa"/>
          </w:tcPr>
          <w:p w:rsidR="0043107D" w:rsidRPr="00EA6EA1" w:rsidRDefault="0043107D" w:rsidP="009A65DF">
            <w:pPr>
              <w:spacing w:line="360" w:lineRule="auto"/>
              <w:jc w:val="both"/>
              <w:rPr>
                <w:b/>
              </w:rPr>
            </w:pPr>
            <w:r w:rsidRPr="00EA6EA1">
              <w:t xml:space="preserve">Termin </w:t>
            </w:r>
            <w:r w:rsidR="00AB376A">
              <w:t>do którego nastąpi przeniesienie</w:t>
            </w:r>
            <w:r w:rsidRPr="00EA6EA1">
              <w:t xml:space="preserve"> prawa własności nieruchomości</w:t>
            </w:r>
          </w:p>
        </w:tc>
        <w:tc>
          <w:tcPr>
            <w:tcW w:w="5274" w:type="dxa"/>
            <w:gridSpan w:val="2"/>
          </w:tcPr>
          <w:p w:rsidR="00AB376A" w:rsidRPr="00D0212D" w:rsidRDefault="00E20090" w:rsidP="0088045E">
            <w:pPr>
              <w:spacing w:line="360" w:lineRule="auto"/>
              <w:rPr>
                <w:color w:val="000000"/>
              </w:rPr>
            </w:pPr>
            <w:r>
              <w:rPr>
                <w:color w:val="000000"/>
              </w:rPr>
              <w:t>W terminie do 30.03</w:t>
            </w:r>
            <w:r w:rsidR="000F52CB">
              <w:rPr>
                <w:color w:val="000000"/>
              </w:rPr>
              <w:t>.20</w:t>
            </w:r>
            <w:r>
              <w:rPr>
                <w:color w:val="000000"/>
              </w:rPr>
              <w:t>20</w:t>
            </w:r>
            <w:r w:rsidR="000F52CB">
              <w:rPr>
                <w:color w:val="000000"/>
              </w:rPr>
              <w:t xml:space="preserve">r </w:t>
            </w:r>
          </w:p>
        </w:tc>
      </w:tr>
      <w:tr w:rsidR="0043107D" w:rsidRPr="00E354A7" w:rsidTr="00C13601">
        <w:trPr>
          <w:trHeight w:val="143"/>
        </w:trPr>
        <w:tc>
          <w:tcPr>
            <w:tcW w:w="3936" w:type="dxa"/>
            <w:vMerge w:val="restart"/>
          </w:tcPr>
          <w:p w:rsidR="0043107D" w:rsidRPr="00EA6EA1" w:rsidRDefault="0043107D" w:rsidP="009A65DF">
            <w:pPr>
              <w:spacing w:line="360" w:lineRule="auto"/>
              <w:jc w:val="both"/>
              <w:rPr>
                <w:b/>
              </w:rPr>
            </w:pPr>
            <w:r w:rsidRPr="00EA6EA1">
              <w:lastRenderedPageBreak/>
              <w:t>Opis przedsięwzięcia deweloperskiego</w:t>
            </w:r>
          </w:p>
        </w:tc>
        <w:tc>
          <w:tcPr>
            <w:tcW w:w="2126" w:type="dxa"/>
          </w:tcPr>
          <w:p w:rsidR="0043107D" w:rsidRDefault="0043107D" w:rsidP="009A65DF">
            <w:pPr>
              <w:spacing w:line="360" w:lineRule="auto"/>
            </w:pPr>
            <w:r w:rsidRPr="00EA6EA1">
              <w:t>Liczba budynków</w:t>
            </w:r>
          </w:p>
          <w:p w:rsidR="0055447F" w:rsidRPr="00EA6EA1" w:rsidRDefault="0055447F" w:rsidP="009A65DF">
            <w:pPr>
              <w:spacing w:line="360" w:lineRule="auto"/>
            </w:pPr>
            <w:r>
              <w:t>I</w:t>
            </w:r>
            <w:r w:rsidR="000F52CB">
              <w:t xml:space="preserve"> </w:t>
            </w:r>
            <w:r>
              <w:t xml:space="preserve">Etapu </w:t>
            </w:r>
          </w:p>
        </w:tc>
        <w:tc>
          <w:tcPr>
            <w:tcW w:w="3148" w:type="dxa"/>
          </w:tcPr>
          <w:p w:rsidR="00FB126C" w:rsidRPr="00EA6EA1" w:rsidRDefault="00FB126C" w:rsidP="00BC56DB">
            <w:pPr>
              <w:spacing w:line="360" w:lineRule="auto"/>
              <w:jc w:val="center"/>
            </w:pPr>
            <w:r w:rsidRPr="00EA6EA1">
              <w:t>W</w:t>
            </w:r>
            <w:r w:rsidR="00992290">
              <w:t xml:space="preserve"> ramach </w:t>
            </w:r>
            <w:r w:rsidR="000F52CB">
              <w:t xml:space="preserve">zadania inwestycyjnego powstanie </w:t>
            </w:r>
            <w:r w:rsidRPr="00EA6EA1">
              <w:t xml:space="preserve"> </w:t>
            </w:r>
            <w:r w:rsidR="000F52CB">
              <w:t>14</w:t>
            </w:r>
            <w:r w:rsidR="0055447F">
              <w:t xml:space="preserve"> </w:t>
            </w:r>
            <w:r w:rsidR="00276EC9">
              <w:t xml:space="preserve"> </w:t>
            </w:r>
            <w:r w:rsidR="000F52CB">
              <w:t xml:space="preserve">budynków </w:t>
            </w:r>
            <w:r w:rsidR="00663917" w:rsidRPr="00EA6EA1">
              <w:t xml:space="preserve"> </w:t>
            </w:r>
            <w:r w:rsidR="000F52CB">
              <w:t>mieszkalnych jednorodzinn</w:t>
            </w:r>
            <w:r w:rsidR="00E20090">
              <w:t xml:space="preserve">ych w zabudowie szeregowej  nr 15-28 ,budynki nr  15-27 </w:t>
            </w:r>
            <w:r w:rsidR="000F52CB">
              <w:t xml:space="preserve">  </w:t>
            </w:r>
            <w:r w:rsidR="00663917" w:rsidRPr="00EA6EA1">
              <w:t xml:space="preserve"> </w:t>
            </w:r>
            <w:r w:rsidR="000F52CB">
              <w:t xml:space="preserve">dwulokalowe </w:t>
            </w:r>
          </w:p>
        </w:tc>
      </w:tr>
      <w:tr w:rsidR="0043107D" w:rsidRPr="00E354A7" w:rsidTr="00C13601">
        <w:trPr>
          <w:trHeight w:val="142"/>
        </w:trPr>
        <w:tc>
          <w:tcPr>
            <w:tcW w:w="3936" w:type="dxa"/>
            <w:vMerge/>
          </w:tcPr>
          <w:p w:rsidR="0043107D" w:rsidRPr="00EA6EA1" w:rsidRDefault="0043107D" w:rsidP="009A65DF">
            <w:pPr>
              <w:spacing w:line="360" w:lineRule="auto"/>
              <w:jc w:val="both"/>
              <w:rPr>
                <w:b/>
              </w:rPr>
            </w:pPr>
          </w:p>
        </w:tc>
        <w:tc>
          <w:tcPr>
            <w:tcW w:w="2126" w:type="dxa"/>
          </w:tcPr>
          <w:p w:rsidR="0043107D" w:rsidRPr="00EA6EA1" w:rsidRDefault="0043107D" w:rsidP="00311E9A">
            <w:pPr>
              <w:spacing w:line="360" w:lineRule="auto"/>
            </w:pPr>
            <w:r w:rsidRPr="00EA6EA1">
              <w:t>Rozmieszczenie ich na nieruchomości</w:t>
            </w:r>
            <w:r w:rsidR="00676B3E" w:rsidRPr="00EA6EA1">
              <w:t xml:space="preserve"> (należy podać minimalny odstęp pomiędzy budynkami)</w:t>
            </w:r>
          </w:p>
        </w:tc>
        <w:tc>
          <w:tcPr>
            <w:tcW w:w="3148" w:type="dxa"/>
          </w:tcPr>
          <w:p w:rsidR="00F028DF" w:rsidRDefault="00F028DF" w:rsidP="00F028DF">
            <w:pPr>
              <w:spacing w:line="360" w:lineRule="auto"/>
              <w:jc w:val="both"/>
            </w:pPr>
          </w:p>
          <w:p w:rsidR="001962A1" w:rsidRDefault="001962A1" w:rsidP="00F028DF">
            <w:pPr>
              <w:spacing w:line="360" w:lineRule="auto"/>
              <w:jc w:val="both"/>
            </w:pPr>
            <w:r>
              <w:t>Odstęp międz</w:t>
            </w:r>
            <w:r w:rsidR="00E60E52">
              <w:t xml:space="preserve">y </w:t>
            </w:r>
            <w:r w:rsidR="00202E92">
              <w:t xml:space="preserve">szeregami </w:t>
            </w:r>
            <w:r w:rsidR="00D70CD4">
              <w:t>budyn</w:t>
            </w:r>
            <w:r w:rsidR="000F52CB">
              <w:t xml:space="preserve">ków wynosi   około </w:t>
            </w:r>
            <w:r w:rsidR="00D70CD4">
              <w:t xml:space="preserve">8 </w:t>
            </w:r>
            <w:r w:rsidR="0055447F">
              <w:t>m</w:t>
            </w:r>
          </w:p>
          <w:p w:rsidR="001962A1" w:rsidRPr="00EA6EA1" w:rsidRDefault="001962A1" w:rsidP="00E60E52">
            <w:pPr>
              <w:spacing w:line="360" w:lineRule="auto"/>
              <w:jc w:val="both"/>
            </w:pPr>
            <w:r>
              <w:t xml:space="preserve">Odstęp od istniejących zabudowań wynosi około </w:t>
            </w:r>
            <w:r w:rsidR="000F52CB">
              <w:t xml:space="preserve">21 </w:t>
            </w:r>
            <w:r w:rsidR="00E60E52">
              <w:t>m.</w:t>
            </w:r>
          </w:p>
        </w:tc>
      </w:tr>
      <w:tr w:rsidR="0043107D" w:rsidRPr="00E354A7" w:rsidTr="00C13601">
        <w:tc>
          <w:tcPr>
            <w:tcW w:w="3936" w:type="dxa"/>
          </w:tcPr>
          <w:p w:rsidR="0043107D" w:rsidRPr="00E601B7" w:rsidRDefault="0043107D" w:rsidP="009A65DF">
            <w:pPr>
              <w:spacing w:line="360" w:lineRule="auto"/>
              <w:jc w:val="both"/>
              <w:rPr>
                <w:b/>
              </w:rPr>
            </w:pPr>
            <w:r w:rsidRPr="00E601B7">
              <w:t>Sposób pomiaru powierzchni lokalu mieszkalnego lub domu jednorodzinnego</w:t>
            </w:r>
          </w:p>
        </w:tc>
        <w:tc>
          <w:tcPr>
            <w:tcW w:w="5274" w:type="dxa"/>
            <w:gridSpan w:val="2"/>
          </w:tcPr>
          <w:p w:rsidR="0043107D" w:rsidRPr="00E601B7" w:rsidRDefault="004C60B3" w:rsidP="009A65DF">
            <w:pPr>
              <w:spacing w:line="360" w:lineRule="auto"/>
              <w:jc w:val="both"/>
            </w:pPr>
            <w:r w:rsidRPr="00E601B7">
              <w:t xml:space="preserve">Zgodnie z Rozporządzeniem Ministra Transportu, Budownictwa i Gospodarki Morskiej w sprawie szczegółowego zakresu i formy projektu budowlanego. </w:t>
            </w:r>
          </w:p>
          <w:p w:rsidR="004C60B3" w:rsidRPr="00E601B7" w:rsidRDefault="004C60B3" w:rsidP="009A65DF">
            <w:pPr>
              <w:spacing w:line="360" w:lineRule="auto"/>
            </w:pPr>
          </w:p>
        </w:tc>
      </w:tr>
      <w:tr w:rsidR="0043107D" w:rsidRPr="00E354A7" w:rsidTr="00C13601">
        <w:tc>
          <w:tcPr>
            <w:tcW w:w="3936" w:type="dxa"/>
          </w:tcPr>
          <w:p w:rsidR="0043107D" w:rsidRPr="00E601B7" w:rsidRDefault="0043107D" w:rsidP="009A65DF">
            <w:pPr>
              <w:spacing w:line="360" w:lineRule="auto"/>
              <w:jc w:val="both"/>
              <w:rPr>
                <w:b/>
              </w:rPr>
            </w:pPr>
            <w:r w:rsidRPr="00E601B7">
              <w:t>Zamierzony sposób i procentowy udział źródeł finansowania przedsięwzięcia deweloperskiego</w:t>
            </w:r>
          </w:p>
        </w:tc>
        <w:tc>
          <w:tcPr>
            <w:tcW w:w="5274" w:type="dxa"/>
            <w:gridSpan w:val="2"/>
          </w:tcPr>
          <w:p w:rsidR="0043107D" w:rsidRPr="00E601B7" w:rsidRDefault="004F0FF4" w:rsidP="009A65DF">
            <w:pPr>
              <w:spacing w:line="360" w:lineRule="auto"/>
            </w:pPr>
            <w:r w:rsidRPr="00E601B7">
              <w:t>Źródłem finansowania projektu są:</w:t>
            </w:r>
          </w:p>
          <w:p w:rsidR="004F0FF4" w:rsidRPr="00E601B7" w:rsidRDefault="004F0FF4" w:rsidP="009A65DF">
            <w:pPr>
              <w:spacing w:line="360" w:lineRule="auto"/>
            </w:pPr>
            <w:r w:rsidRPr="00E601B7">
              <w:t xml:space="preserve">- </w:t>
            </w:r>
            <w:r w:rsidR="000F52CB">
              <w:t>6</w:t>
            </w:r>
            <w:r w:rsidR="00352C11">
              <w:t>0</w:t>
            </w:r>
            <w:r w:rsidRPr="00E601B7">
              <w:t xml:space="preserve">% </w:t>
            </w:r>
            <w:r w:rsidR="00095BAF" w:rsidRPr="00E601B7">
              <w:t>środki własne dewelopera</w:t>
            </w:r>
          </w:p>
          <w:p w:rsidR="004F0FF4" w:rsidRPr="00E601B7" w:rsidRDefault="004F0FF4" w:rsidP="008568B4">
            <w:pPr>
              <w:spacing w:line="360" w:lineRule="auto"/>
            </w:pPr>
            <w:r w:rsidRPr="00E601B7">
              <w:t xml:space="preserve">- </w:t>
            </w:r>
            <w:r w:rsidR="000F52CB">
              <w:t>4</w:t>
            </w:r>
            <w:r w:rsidR="00352C11">
              <w:t>0</w:t>
            </w:r>
            <w:r w:rsidR="00095BAF" w:rsidRPr="00E601B7">
              <w:t>% środki</w:t>
            </w:r>
            <w:r w:rsidR="00140158">
              <w:t xml:space="preserve"> </w:t>
            </w:r>
            <w:r w:rsidR="00095BAF" w:rsidRPr="00E601B7">
              <w:t>z wpłat klientów</w:t>
            </w:r>
          </w:p>
        </w:tc>
      </w:tr>
      <w:tr w:rsidR="00C82C75" w:rsidRPr="00E354A7" w:rsidTr="00C13601">
        <w:trPr>
          <w:trHeight w:val="357"/>
        </w:trPr>
        <w:tc>
          <w:tcPr>
            <w:tcW w:w="3936" w:type="dxa"/>
          </w:tcPr>
          <w:p w:rsidR="00C82C75" w:rsidRPr="00E601B7" w:rsidRDefault="00C82C75" w:rsidP="001A2BDD">
            <w:pPr>
              <w:widowControl w:val="0"/>
              <w:spacing w:line="360" w:lineRule="auto"/>
              <w:jc w:val="both"/>
              <w:rPr>
                <w:b/>
              </w:rPr>
            </w:pPr>
            <w:r w:rsidRPr="00E601B7">
              <w:t>Środki ochrony nabywców</w:t>
            </w:r>
          </w:p>
        </w:tc>
        <w:tc>
          <w:tcPr>
            <w:tcW w:w="5274" w:type="dxa"/>
            <w:gridSpan w:val="2"/>
          </w:tcPr>
          <w:p w:rsidR="00C82C75" w:rsidRPr="00E601B7" w:rsidRDefault="00352C11" w:rsidP="001C2FEB">
            <w:pPr>
              <w:widowControl w:val="0"/>
              <w:spacing w:line="360" w:lineRule="auto"/>
              <w:jc w:val="both"/>
            </w:pPr>
            <w:r>
              <w:t>Bankowy rachunek powierniczy otwarty</w:t>
            </w:r>
          </w:p>
        </w:tc>
      </w:tr>
      <w:tr w:rsidR="00C82C75" w:rsidRPr="00E354A7" w:rsidTr="00C13601">
        <w:tc>
          <w:tcPr>
            <w:tcW w:w="3936" w:type="dxa"/>
          </w:tcPr>
          <w:p w:rsidR="00C82C75" w:rsidRPr="00E601B7" w:rsidRDefault="00C82C75" w:rsidP="001A2BDD">
            <w:pPr>
              <w:widowControl w:val="0"/>
              <w:spacing w:line="360" w:lineRule="auto"/>
              <w:jc w:val="both"/>
              <w:rPr>
                <w:b/>
              </w:rPr>
            </w:pPr>
            <w:r w:rsidRPr="00E601B7">
              <w:t>Główne zasady funkcjonowania wybranego rodzaju zabezpieczenia środków nabywcy</w:t>
            </w:r>
          </w:p>
        </w:tc>
        <w:tc>
          <w:tcPr>
            <w:tcW w:w="5274" w:type="dxa"/>
            <w:gridSpan w:val="2"/>
          </w:tcPr>
          <w:p w:rsidR="005B6D62" w:rsidRPr="005B6D62" w:rsidRDefault="005B6D62" w:rsidP="005B6D62">
            <w:pPr>
              <w:tabs>
                <w:tab w:val="right" w:leader="hyphen" w:pos="0"/>
                <w:tab w:val="right" w:leader="hyphen" w:pos="7230"/>
              </w:tabs>
              <w:spacing w:line="360" w:lineRule="atLeast"/>
            </w:pPr>
            <w:r>
              <w:t>R</w:t>
            </w:r>
            <w:r w:rsidRPr="005B6D62">
              <w:t>achunek ten może być wykorzystywany wyłącznie do gromadzenia i przechowywania środków pieniężnych powierzonych deweloperowi przez stronę nabywającą, w celu dokonania zapłaty w częściach, w miarę postępu procesu budowlanego, ceny nabycia przedmiotowej nieruchomości, przy czym Bank wypłaca deweloperowi na ten rachunek powierniczy środki pieniężne wpłacone przez stronę nabywającą, a zgromadzone na jej indywidualnym rachunku wirtualnym, do 10 dni roboczych po stwierdzeniu przez Bank zakończenia danego etapu realizacji przedsięwzięcia deweloperskiego,</w:t>
            </w:r>
            <w:r w:rsidRPr="005B6D62">
              <w:tab/>
            </w:r>
          </w:p>
          <w:p w:rsidR="005B6D62" w:rsidRPr="005B6D62" w:rsidRDefault="005B6D62" w:rsidP="005B6D62">
            <w:pPr>
              <w:tabs>
                <w:tab w:val="right" w:leader="hyphen" w:pos="0"/>
                <w:tab w:val="right" w:leader="hyphen" w:pos="7230"/>
              </w:tabs>
              <w:spacing w:line="360" w:lineRule="atLeast"/>
            </w:pPr>
            <w:r w:rsidRPr="005B6D62">
              <w:t xml:space="preserve">- bank ten ewidencjonuje wpłaty i wypłaty odrębnie dla </w:t>
            </w:r>
            <w:r w:rsidRPr="005B6D62">
              <w:lastRenderedPageBreak/>
              <w:t>każdego nabywcy, a deweloper przypisze każdemu nabywcy indywidualny numer rachunku wirtualnego, określony według wzoru wskazanego w opisywanej umowie,</w:t>
            </w:r>
          </w:p>
          <w:p w:rsidR="005B6D62" w:rsidRPr="005B6D62" w:rsidRDefault="005B6D62" w:rsidP="005B6D62">
            <w:pPr>
              <w:tabs>
                <w:tab w:val="right" w:leader="hyphen" w:pos="0"/>
                <w:tab w:val="right" w:leader="hyphen" w:pos="7230"/>
              </w:tabs>
              <w:spacing w:line="360" w:lineRule="atLeast"/>
            </w:pPr>
            <w:r w:rsidRPr="005B6D62">
              <w:t>- za świadczone usługi bank ten pobiera od dewelopera prowizje i opłaty bankowe, zgodnie z Taryfą wskazaną w opisywanej umowie, które są kosztami prowadzenia tego rachunku,</w:t>
            </w:r>
          </w:p>
          <w:p w:rsidR="005B6D62" w:rsidRPr="005B6D62" w:rsidRDefault="005B6D62" w:rsidP="005B6D62">
            <w:pPr>
              <w:tabs>
                <w:tab w:val="right" w:leader="hyphen" w:pos="0"/>
                <w:tab w:val="right" w:leader="hyphen" w:pos="7230"/>
              </w:tabs>
              <w:spacing w:line="360" w:lineRule="atLeast"/>
            </w:pPr>
            <w:r w:rsidRPr="005B6D62">
              <w:t>- w przypadku odstąpienia od umowy deweloperskiej na podstawie art. 29 ustawy przez jedną ze stron, bank wypłaca stronie nabywającej przypadające jej środki pozostałe na tym rachunku, niezwłocznie po otrzymaniu oświadczenia o odstąpieniu od umowy, a w przypadku rozwiązania umowy deweloperskiej innego niż na podstawie art. 29 ustawy, bank wypłaca stronie nabywającej te środki pieniężne, niezwłocznie po otrzymaniu od stron umowy ich zgodnych oświadczeń woli o sposobie podziału środków pieniężnych zgromadzonych na tym rachunku.</w:t>
            </w:r>
          </w:p>
          <w:p w:rsidR="005B6D62" w:rsidRPr="005B6D62" w:rsidRDefault="005B6D62" w:rsidP="005B6D62">
            <w:pPr>
              <w:tabs>
                <w:tab w:val="right" w:leader="hyphen" w:pos="0"/>
                <w:tab w:val="right" w:leader="hyphen" w:pos="7230"/>
              </w:tabs>
              <w:spacing w:line="360" w:lineRule="atLeast"/>
            </w:pPr>
            <w:r w:rsidRPr="005B6D62">
              <w:t xml:space="preserve">          Strona nabywająca przyjmuje do wiadomości, że w związku z zawarciem przez </w:t>
            </w:r>
            <w:r w:rsidRPr="005B6D62">
              <w:br/>
              <w:t xml:space="preserve">Dewelopera z ING Bankiem Śląskim SA w Katowicach umowy </w:t>
            </w:r>
            <w:r w:rsidRPr="005B6D62">
              <w:br/>
              <w:t>otwartego mieszkaniowego rachunku powierniczego, administratorem danych osobowych strony nabywającej będzie ING Bank Śląski SA w Katowicach dla celów wykonywania tej umowy, jak również Bank ten otrzymywać będzie jej dane osobowe od Dewelopera, przy czym strona nabywająca będzie miała prawo dostępu do treści swoich danych oraz do ich poprawiania.</w:t>
            </w:r>
          </w:p>
          <w:p w:rsidR="00C82C75" w:rsidRPr="00E601B7" w:rsidRDefault="00C82C75" w:rsidP="005B6D62">
            <w:pPr>
              <w:widowControl w:val="0"/>
              <w:spacing w:line="360" w:lineRule="auto"/>
            </w:pPr>
          </w:p>
        </w:tc>
      </w:tr>
      <w:tr w:rsidR="00C82C75" w:rsidRPr="00E354A7" w:rsidTr="00C13601">
        <w:tc>
          <w:tcPr>
            <w:tcW w:w="3936" w:type="dxa"/>
          </w:tcPr>
          <w:p w:rsidR="00C82C75" w:rsidRPr="00E601B7" w:rsidRDefault="00C82C75" w:rsidP="001A2BDD">
            <w:pPr>
              <w:widowControl w:val="0"/>
              <w:spacing w:line="360" w:lineRule="auto"/>
              <w:jc w:val="both"/>
              <w:rPr>
                <w:b/>
              </w:rPr>
            </w:pPr>
            <w:r w:rsidRPr="00E601B7">
              <w:lastRenderedPageBreak/>
              <w:t>Nazwa instytucji zapewniającej bezpieczeństwo środków nabywcy</w:t>
            </w:r>
          </w:p>
        </w:tc>
        <w:tc>
          <w:tcPr>
            <w:tcW w:w="5274" w:type="dxa"/>
            <w:gridSpan w:val="2"/>
          </w:tcPr>
          <w:p w:rsidR="00C82C75" w:rsidRPr="005769C6" w:rsidRDefault="005769C6" w:rsidP="005769C6">
            <w:pPr>
              <w:widowControl w:val="0"/>
              <w:spacing w:line="360" w:lineRule="auto"/>
              <w:rPr>
                <w:color w:val="000000" w:themeColor="text1"/>
              </w:rPr>
            </w:pPr>
            <w:r w:rsidRPr="005769C6">
              <w:rPr>
                <w:color w:val="000000" w:themeColor="text1"/>
              </w:rPr>
              <w:t>ING BANK ŚLĄSKI SA</w:t>
            </w:r>
          </w:p>
        </w:tc>
      </w:tr>
      <w:tr w:rsidR="00C82C75" w:rsidRPr="00E354A7" w:rsidTr="003523DA">
        <w:trPr>
          <w:trHeight w:val="471"/>
        </w:trPr>
        <w:tc>
          <w:tcPr>
            <w:tcW w:w="3936" w:type="dxa"/>
          </w:tcPr>
          <w:p w:rsidR="00C82C75" w:rsidRPr="00E601B7" w:rsidRDefault="00C82C75" w:rsidP="001A2BDD">
            <w:pPr>
              <w:widowControl w:val="0"/>
              <w:spacing w:line="360" w:lineRule="auto"/>
              <w:jc w:val="both"/>
              <w:rPr>
                <w:b/>
              </w:rPr>
            </w:pPr>
            <w:r w:rsidRPr="00E601B7">
              <w:lastRenderedPageBreak/>
              <w:t>Harmonogram przedsięwzięcia deweloperskiego w etapach</w:t>
            </w:r>
          </w:p>
        </w:tc>
        <w:tc>
          <w:tcPr>
            <w:tcW w:w="5274" w:type="dxa"/>
            <w:gridSpan w:val="2"/>
          </w:tcPr>
          <w:p w:rsidR="007E27A4" w:rsidRPr="00E601B7" w:rsidRDefault="002A443A" w:rsidP="002A443A">
            <w:pPr>
              <w:widowControl w:val="0"/>
              <w:spacing w:line="360" w:lineRule="auto"/>
            </w:pPr>
            <w:r>
              <w:t xml:space="preserve"> W</w:t>
            </w:r>
            <w:r w:rsidR="000F52CB">
              <w:t xml:space="preserve"> załączniku "Dobrowolskiego 24 I</w:t>
            </w:r>
            <w:r w:rsidR="00E20090">
              <w:t>I</w:t>
            </w:r>
            <w:bookmarkStart w:id="5" w:name="_GoBack"/>
            <w:bookmarkEnd w:id="5"/>
            <w:r w:rsidR="000F52CB">
              <w:t xml:space="preserve"> etap </w:t>
            </w:r>
            <w:r w:rsidR="00A83635">
              <w:t xml:space="preserve">” </w:t>
            </w:r>
            <w:r w:rsidRPr="002A443A">
              <w:t>:Harmonogram płatności przedsięwzięcia w etapach"</w:t>
            </w:r>
          </w:p>
        </w:tc>
      </w:tr>
      <w:tr w:rsidR="00C82C75" w:rsidRPr="00E354A7" w:rsidTr="00C13601">
        <w:tc>
          <w:tcPr>
            <w:tcW w:w="3936" w:type="dxa"/>
          </w:tcPr>
          <w:p w:rsidR="00C82C75" w:rsidRPr="00E601B7" w:rsidRDefault="00C82C75" w:rsidP="001A2BDD">
            <w:pPr>
              <w:widowControl w:val="0"/>
              <w:spacing w:line="360" w:lineRule="auto"/>
              <w:jc w:val="both"/>
              <w:rPr>
                <w:b/>
              </w:rPr>
            </w:pPr>
            <w:r w:rsidRPr="00E601B7">
              <w:t>Dopuszczenie waloryzacji ceny oraz określenia zasad waloryzacji</w:t>
            </w:r>
          </w:p>
        </w:tc>
        <w:tc>
          <w:tcPr>
            <w:tcW w:w="5274" w:type="dxa"/>
            <w:gridSpan w:val="2"/>
          </w:tcPr>
          <w:p w:rsidR="00153722" w:rsidRPr="00584030" w:rsidRDefault="00153722" w:rsidP="00153722">
            <w:pPr>
              <w:pStyle w:val="Zwykytekst"/>
              <w:tabs>
                <w:tab w:val="left" w:pos="4592"/>
                <w:tab w:val="left" w:pos="4809"/>
                <w:tab w:val="right" w:leader="hyphen" w:pos="9640"/>
              </w:tabs>
              <w:spacing w:line="360" w:lineRule="auto"/>
              <w:jc w:val="both"/>
              <w:rPr>
                <w:rFonts w:ascii="Times New Roman" w:hAnsi="Times New Roman" w:cs="Times New Roman"/>
                <w:sz w:val="22"/>
                <w:szCs w:val="22"/>
              </w:rPr>
            </w:pPr>
            <w:r w:rsidRPr="006A18DB">
              <w:rPr>
                <w:rFonts w:ascii="Times New Roman" w:hAnsi="Times New Roman" w:cs="Times New Roman"/>
                <w:sz w:val="22"/>
                <w:szCs w:val="22"/>
              </w:rPr>
              <w:t>Cena może ulec zmianie jedynie</w:t>
            </w:r>
            <w:r w:rsidRPr="00584030">
              <w:rPr>
                <w:rFonts w:ascii="Times New Roman" w:hAnsi="Times New Roman" w:cs="Times New Roman"/>
                <w:sz w:val="22"/>
                <w:szCs w:val="22"/>
              </w:rPr>
              <w:t xml:space="preserve"> w przypadkach:</w:t>
            </w:r>
          </w:p>
          <w:p w:rsidR="00153722" w:rsidRPr="00584030" w:rsidRDefault="00153722" w:rsidP="00584030">
            <w:pPr>
              <w:pStyle w:val="Zwykytekst"/>
              <w:numPr>
                <w:ilvl w:val="0"/>
                <w:numId w:val="36"/>
              </w:numPr>
              <w:tabs>
                <w:tab w:val="left" w:pos="4592"/>
                <w:tab w:val="left" w:pos="4809"/>
                <w:tab w:val="right" w:leader="hyphen" w:pos="9640"/>
              </w:tabs>
              <w:spacing w:line="360" w:lineRule="auto"/>
              <w:ind w:left="459"/>
              <w:jc w:val="both"/>
              <w:rPr>
                <w:rFonts w:ascii="Times New Roman" w:hAnsi="Times New Roman" w:cs="Times New Roman"/>
                <w:sz w:val="22"/>
                <w:szCs w:val="22"/>
              </w:rPr>
            </w:pPr>
            <w:r w:rsidRPr="00584030">
              <w:rPr>
                <w:rFonts w:ascii="Times New Roman" w:hAnsi="Times New Roman" w:cs="Times New Roman"/>
                <w:sz w:val="22"/>
                <w:szCs w:val="22"/>
              </w:rPr>
              <w:t>zmian wynikających z pr</w:t>
            </w:r>
            <w:r w:rsidR="00016046">
              <w:rPr>
                <w:rFonts w:ascii="Times New Roman" w:hAnsi="Times New Roman" w:cs="Times New Roman"/>
                <w:sz w:val="22"/>
                <w:szCs w:val="22"/>
              </w:rPr>
              <w:t xml:space="preserve">zepisów ustawy o podatku VAT, a wprowadzonych w </w:t>
            </w:r>
            <w:r w:rsidRPr="00584030">
              <w:rPr>
                <w:rFonts w:ascii="Times New Roman" w:hAnsi="Times New Roman" w:cs="Times New Roman"/>
                <w:sz w:val="22"/>
                <w:szCs w:val="22"/>
              </w:rPr>
              <w:t>trakcie realizacji przedsięwzięcia deweloperskiego i</w:t>
            </w:r>
            <w:r w:rsidR="00F73DC9">
              <w:rPr>
                <w:rFonts w:ascii="Times New Roman" w:hAnsi="Times New Roman" w:cs="Times New Roman"/>
                <w:sz w:val="22"/>
                <w:szCs w:val="22"/>
              </w:rPr>
              <w:t xml:space="preserve"> </w:t>
            </w:r>
            <w:r w:rsidRPr="00584030">
              <w:rPr>
                <w:rFonts w:ascii="Times New Roman" w:hAnsi="Times New Roman" w:cs="Times New Roman"/>
                <w:sz w:val="22"/>
                <w:szCs w:val="22"/>
              </w:rPr>
              <w:t>w tym przypadku zmiana dotyczyć będzie wyłącznie stawki tego podatku,</w:t>
            </w:r>
          </w:p>
          <w:p w:rsidR="00584030" w:rsidRPr="00584030" w:rsidRDefault="00153722" w:rsidP="00584030">
            <w:pPr>
              <w:pStyle w:val="Zwykytekst"/>
              <w:numPr>
                <w:ilvl w:val="0"/>
                <w:numId w:val="36"/>
              </w:numPr>
              <w:tabs>
                <w:tab w:val="left" w:pos="4592"/>
                <w:tab w:val="left" w:pos="4809"/>
                <w:tab w:val="right" w:leader="hyphen" w:pos="9640"/>
              </w:tabs>
              <w:spacing w:line="360" w:lineRule="auto"/>
              <w:ind w:left="459"/>
              <w:jc w:val="both"/>
              <w:rPr>
                <w:rFonts w:ascii="Times New Roman" w:hAnsi="Times New Roman" w:cs="Times New Roman"/>
                <w:sz w:val="22"/>
                <w:szCs w:val="22"/>
              </w:rPr>
            </w:pPr>
            <w:r w:rsidRPr="00584030">
              <w:rPr>
                <w:rFonts w:ascii="Times New Roman" w:hAnsi="Times New Roman" w:cs="Times New Roman"/>
                <w:sz w:val="22"/>
                <w:szCs w:val="22"/>
              </w:rPr>
              <w:t>wpr</w:t>
            </w:r>
            <w:r w:rsidR="00016046">
              <w:rPr>
                <w:rFonts w:ascii="Times New Roman" w:hAnsi="Times New Roman" w:cs="Times New Roman"/>
                <w:sz w:val="22"/>
                <w:szCs w:val="22"/>
              </w:rPr>
              <w:t>owadzenia zmian zakresu robót w budynku</w:t>
            </w:r>
            <w:r w:rsidRPr="00584030">
              <w:rPr>
                <w:rFonts w:ascii="Times New Roman" w:hAnsi="Times New Roman" w:cs="Times New Roman"/>
                <w:sz w:val="22"/>
                <w:szCs w:val="22"/>
              </w:rPr>
              <w:t xml:space="preserve"> oraz zlecenia robót dodatkowych przez stronę nabywającą i w tym przypadku zmiana ceny nastąpi na skute</w:t>
            </w:r>
            <w:r w:rsidR="00016046">
              <w:rPr>
                <w:rFonts w:ascii="Times New Roman" w:hAnsi="Times New Roman" w:cs="Times New Roman"/>
                <w:sz w:val="22"/>
                <w:szCs w:val="22"/>
              </w:rPr>
              <w:t xml:space="preserve">k faktycznie wykonanych zmian i </w:t>
            </w:r>
            <w:r w:rsidRPr="00584030">
              <w:rPr>
                <w:rFonts w:ascii="Times New Roman" w:hAnsi="Times New Roman" w:cs="Times New Roman"/>
                <w:sz w:val="22"/>
                <w:szCs w:val="22"/>
              </w:rPr>
              <w:t>ich wyceny kosztorysem powykonawczym, sporządzonym wg stawek obowiązujących</w:t>
            </w:r>
            <w:r w:rsidR="00140158">
              <w:rPr>
                <w:rFonts w:ascii="Times New Roman" w:hAnsi="Times New Roman" w:cs="Times New Roman"/>
                <w:sz w:val="22"/>
                <w:szCs w:val="22"/>
              </w:rPr>
              <w:t xml:space="preserve"> </w:t>
            </w:r>
            <w:r w:rsidRPr="00584030">
              <w:rPr>
                <w:rFonts w:ascii="Times New Roman" w:hAnsi="Times New Roman" w:cs="Times New Roman"/>
                <w:sz w:val="22"/>
                <w:szCs w:val="22"/>
              </w:rPr>
              <w:t>w rozliczeniach pomiędzy wykonawcą a deweloperem.</w:t>
            </w:r>
          </w:p>
          <w:p w:rsidR="004C3B8F" w:rsidRDefault="00153722" w:rsidP="00584030">
            <w:pPr>
              <w:pStyle w:val="Zwykytekst"/>
              <w:tabs>
                <w:tab w:val="left" w:pos="4592"/>
                <w:tab w:val="left" w:pos="4809"/>
                <w:tab w:val="right" w:leader="hyphen" w:pos="9640"/>
              </w:tabs>
              <w:spacing w:line="360" w:lineRule="auto"/>
              <w:jc w:val="both"/>
              <w:rPr>
                <w:rFonts w:ascii="Times New Roman" w:hAnsi="Times New Roman" w:cs="Times New Roman"/>
                <w:sz w:val="22"/>
                <w:szCs w:val="22"/>
              </w:rPr>
            </w:pPr>
            <w:r w:rsidRPr="00584030">
              <w:rPr>
                <w:rFonts w:ascii="Times New Roman" w:hAnsi="Times New Roman" w:cs="Times New Roman"/>
                <w:sz w:val="22"/>
                <w:szCs w:val="22"/>
              </w:rPr>
              <w:t>Wszelkie zmiany dotyczące wysokości ostatecznej ceny zostaną uwzględnione przy określeniu wy</w:t>
            </w:r>
            <w:r w:rsidR="004C3B8F">
              <w:rPr>
                <w:rFonts w:ascii="Times New Roman" w:hAnsi="Times New Roman" w:cs="Times New Roman"/>
                <w:sz w:val="22"/>
                <w:szCs w:val="22"/>
              </w:rPr>
              <w:t>sokości ostatniej raty tej ceny.</w:t>
            </w:r>
          </w:p>
          <w:p w:rsidR="004C3B8F" w:rsidRPr="00E17BAB" w:rsidRDefault="004C3B8F" w:rsidP="004C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7BAB">
              <w:t>c)</w:t>
            </w:r>
          </w:p>
          <w:p w:rsidR="004C3B8F" w:rsidRPr="00E17BAB" w:rsidRDefault="004C3B8F" w:rsidP="004C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7BAB">
              <w:t>różnicy między powierzchnią lokalu mieszkalnego, określoną w dokumentacji projektowej, a rzeczywistą powierzchnią lokalu mieszkalnego - liczoną z wyprawami tynkarskimi – większą niż 2%, wówczas strony niniejszej umowy rozliczą ewentualną różnicę powierzchni według obmiaru powykonawczego, przyjmując za podstawę rozliczenia cenę jednostkową netto 1 m² loka</w:t>
            </w:r>
            <w:r w:rsidR="00C5443D">
              <w:t xml:space="preserve">lu mieszkalnego </w:t>
            </w:r>
            <w:r w:rsidRPr="00E17BAB">
              <w:t>przy czym jeżeli powierzchnia lokalu będzie mniejsza od powierzchni określonej w dokumentacji projektowej, na skutek zgłoszonych przez stronę nabywającą zmian układu pomieszczeń, cena za przedmiotowy lokal nie ulegnie zmianie,</w:t>
            </w:r>
          </w:p>
          <w:p w:rsidR="00C82C75" w:rsidRPr="004C3B8F" w:rsidRDefault="00153722" w:rsidP="004C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7BAB">
              <w:rPr>
                <w:rFonts w:ascii="Arial" w:hAnsi="Arial" w:cs="Arial"/>
              </w:rPr>
              <w:tab/>
            </w:r>
          </w:p>
        </w:tc>
      </w:tr>
      <w:tr w:rsidR="00C82C75" w:rsidRPr="00E354A7" w:rsidTr="00F22AB7">
        <w:tc>
          <w:tcPr>
            <w:tcW w:w="9210" w:type="dxa"/>
            <w:gridSpan w:val="3"/>
          </w:tcPr>
          <w:p w:rsidR="00C82C75" w:rsidRPr="00584030" w:rsidRDefault="00C82C75" w:rsidP="009A65DF">
            <w:pPr>
              <w:spacing w:line="360" w:lineRule="auto"/>
            </w:pPr>
            <w:r w:rsidRPr="00584030">
              <w:t>WARUNKI ODSTĘPIENIA OD UMOWY DEWELOPERSKIEJ</w:t>
            </w:r>
          </w:p>
          <w:p w:rsidR="00584030" w:rsidRPr="00605400" w:rsidRDefault="00584030" w:rsidP="00605400">
            <w:pPr>
              <w:tabs>
                <w:tab w:val="right" w:leader="hyphen" w:pos="9640"/>
              </w:tabs>
              <w:spacing w:line="360" w:lineRule="auto"/>
              <w:rPr>
                <w:bCs/>
              </w:rPr>
            </w:pPr>
            <w:r w:rsidRPr="00605400">
              <w:rPr>
                <w:bCs/>
              </w:rPr>
              <w:t>Strona nabywająca ma prawo odstąpić od umowy deweloperskiej:</w:t>
            </w:r>
          </w:p>
          <w:p w:rsidR="00584030" w:rsidRPr="00584030" w:rsidRDefault="00584030" w:rsidP="00605400">
            <w:pPr>
              <w:pStyle w:val="Akapitzlist"/>
              <w:numPr>
                <w:ilvl w:val="0"/>
                <w:numId w:val="37"/>
              </w:numPr>
              <w:tabs>
                <w:tab w:val="right" w:leader="hyphen" w:pos="9640"/>
              </w:tabs>
              <w:spacing w:line="360" w:lineRule="auto"/>
              <w:ind w:left="426"/>
              <w:rPr>
                <w:rFonts w:ascii="Times New Roman" w:hAnsi="Times New Roman"/>
                <w:bCs/>
                <w:sz w:val="22"/>
              </w:rPr>
            </w:pPr>
            <w:r w:rsidRPr="00584030">
              <w:rPr>
                <w:rFonts w:ascii="Times New Roman" w:hAnsi="Times New Roman"/>
                <w:bCs/>
                <w:sz w:val="22"/>
              </w:rPr>
              <w:t>jeżeli umowa deweloperska nie zawiera elementów, o których mowa w art. 22 ustawy o ochronie praw nabywcy lokalu mieszk</w:t>
            </w:r>
            <w:r w:rsidR="00205F9B">
              <w:rPr>
                <w:rFonts w:ascii="Times New Roman" w:hAnsi="Times New Roman"/>
                <w:bCs/>
                <w:sz w:val="22"/>
              </w:rPr>
              <w:t>alnego lub domu jednorodzinnego,</w:t>
            </w:r>
          </w:p>
          <w:p w:rsidR="00584030" w:rsidRDefault="00584030" w:rsidP="00605400">
            <w:pPr>
              <w:pStyle w:val="Akapitzlist"/>
              <w:numPr>
                <w:ilvl w:val="0"/>
                <w:numId w:val="37"/>
              </w:numPr>
              <w:tabs>
                <w:tab w:val="right" w:leader="hyphen" w:pos="9640"/>
              </w:tabs>
              <w:spacing w:line="360" w:lineRule="auto"/>
              <w:ind w:left="426"/>
              <w:rPr>
                <w:rFonts w:ascii="Times New Roman" w:hAnsi="Times New Roman"/>
                <w:bCs/>
                <w:sz w:val="22"/>
              </w:rPr>
            </w:pPr>
            <w:r w:rsidRPr="00584030">
              <w:rPr>
                <w:rFonts w:ascii="Times New Roman" w:hAnsi="Times New Roman"/>
                <w:bCs/>
                <w:sz w:val="22"/>
              </w:rPr>
              <w:lastRenderedPageBreak/>
              <w:t>jeżeli informacje zawarte w umowie deweloperskiej nie są zgodne z</w:t>
            </w:r>
            <w:r w:rsidR="006A18DB">
              <w:rPr>
                <w:rFonts w:ascii="Times New Roman" w:hAnsi="Times New Roman"/>
                <w:bCs/>
                <w:sz w:val="22"/>
              </w:rPr>
              <w:t xml:space="preserve"> </w:t>
            </w:r>
            <w:r w:rsidRPr="00584030">
              <w:rPr>
                <w:rFonts w:ascii="Times New Roman" w:hAnsi="Times New Roman"/>
                <w:bCs/>
                <w:sz w:val="22"/>
              </w:rPr>
              <w:t>informacjami zawartymi w prospekcie informacyjnym lub w</w:t>
            </w:r>
            <w:r w:rsidR="006A18DB">
              <w:rPr>
                <w:rFonts w:ascii="Times New Roman" w:hAnsi="Times New Roman"/>
                <w:bCs/>
                <w:sz w:val="22"/>
              </w:rPr>
              <w:t xml:space="preserve"> </w:t>
            </w:r>
            <w:r w:rsidRPr="00584030">
              <w:rPr>
                <w:rFonts w:ascii="Times New Roman" w:hAnsi="Times New Roman"/>
                <w:bCs/>
                <w:sz w:val="22"/>
              </w:rPr>
              <w:t>załącznikach, za wyjątkiem zmian, o</w:t>
            </w:r>
            <w:r w:rsidR="006A18DB">
              <w:rPr>
                <w:rFonts w:ascii="Times New Roman" w:hAnsi="Times New Roman"/>
                <w:bCs/>
                <w:sz w:val="22"/>
              </w:rPr>
              <w:t xml:space="preserve"> </w:t>
            </w:r>
            <w:r w:rsidRPr="00584030">
              <w:rPr>
                <w:rFonts w:ascii="Times New Roman" w:hAnsi="Times New Roman"/>
                <w:bCs/>
                <w:sz w:val="22"/>
              </w:rPr>
              <w:t>których mowa w art. 22 ust. 2 w/w ustawy</w:t>
            </w:r>
            <w:r w:rsidR="00205F9B">
              <w:rPr>
                <w:rFonts w:ascii="Times New Roman" w:hAnsi="Times New Roman"/>
                <w:bCs/>
                <w:sz w:val="22"/>
              </w:rPr>
              <w:t>,</w:t>
            </w:r>
          </w:p>
          <w:p w:rsidR="00584030" w:rsidRDefault="00584030" w:rsidP="00605400">
            <w:pPr>
              <w:pStyle w:val="Akapitzlist"/>
              <w:numPr>
                <w:ilvl w:val="0"/>
                <w:numId w:val="37"/>
              </w:numPr>
              <w:tabs>
                <w:tab w:val="right" w:leader="hyphen" w:pos="9640"/>
              </w:tabs>
              <w:spacing w:line="360" w:lineRule="auto"/>
              <w:ind w:left="426"/>
              <w:rPr>
                <w:rFonts w:ascii="Times New Roman" w:hAnsi="Times New Roman"/>
                <w:bCs/>
                <w:sz w:val="22"/>
              </w:rPr>
            </w:pPr>
            <w:r w:rsidRPr="00584030">
              <w:rPr>
                <w:rFonts w:ascii="Times New Roman" w:hAnsi="Times New Roman"/>
                <w:bCs/>
                <w:sz w:val="22"/>
              </w:rPr>
              <w:t>jeżeli deweloper nie doręczył zgodnie z art. 18 i art. 19 ustawy prospektu informacyjnego wraz z załącznikami</w:t>
            </w:r>
            <w:r w:rsidR="00205F9B">
              <w:rPr>
                <w:rFonts w:ascii="Times New Roman" w:hAnsi="Times New Roman"/>
                <w:bCs/>
                <w:sz w:val="22"/>
              </w:rPr>
              <w:t>,</w:t>
            </w:r>
          </w:p>
          <w:p w:rsidR="00584030" w:rsidRDefault="006A18DB" w:rsidP="00605400">
            <w:pPr>
              <w:pStyle w:val="Akapitzlist"/>
              <w:numPr>
                <w:ilvl w:val="0"/>
                <w:numId w:val="37"/>
              </w:numPr>
              <w:tabs>
                <w:tab w:val="right" w:leader="hyphen" w:pos="9640"/>
              </w:tabs>
              <w:spacing w:line="360" w:lineRule="auto"/>
              <w:ind w:left="426"/>
              <w:rPr>
                <w:rFonts w:ascii="Times New Roman" w:hAnsi="Times New Roman"/>
                <w:bCs/>
                <w:sz w:val="22"/>
              </w:rPr>
            </w:pPr>
            <w:r>
              <w:rPr>
                <w:rFonts w:ascii="Times New Roman" w:hAnsi="Times New Roman"/>
                <w:bCs/>
                <w:sz w:val="22"/>
              </w:rPr>
              <w:t xml:space="preserve">jeżeli informacje zawarte w </w:t>
            </w:r>
            <w:r w:rsidR="00584030" w:rsidRPr="00584030">
              <w:rPr>
                <w:rFonts w:ascii="Times New Roman" w:hAnsi="Times New Roman"/>
                <w:bCs/>
                <w:sz w:val="22"/>
              </w:rPr>
              <w:t>prospekcie informacyjnym lub w załącznikach, na podstawie których zawarto umowę deweloperską, są niezgodne ze stanem faktycznym i prawnym w dniu podpisania umowy deweloperskiej</w:t>
            </w:r>
            <w:r w:rsidR="00205F9B">
              <w:rPr>
                <w:rFonts w:ascii="Times New Roman" w:hAnsi="Times New Roman"/>
                <w:bCs/>
                <w:sz w:val="22"/>
              </w:rPr>
              <w:t>,</w:t>
            </w:r>
          </w:p>
          <w:p w:rsidR="00584030" w:rsidRPr="00584030" w:rsidRDefault="00584030" w:rsidP="00605400">
            <w:pPr>
              <w:pStyle w:val="Akapitzlist"/>
              <w:numPr>
                <w:ilvl w:val="0"/>
                <w:numId w:val="37"/>
              </w:numPr>
              <w:tabs>
                <w:tab w:val="right" w:leader="hyphen" w:pos="9640"/>
              </w:tabs>
              <w:spacing w:line="360" w:lineRule="auto"/>
              <w:ind w:left="426"/>
              <w:rPr>
                <w:rFonts w:ascii="Times New Roman" w:hAnsi="Times New Roman"/>
                <w:bCs/>
                <w:sz w:val="22"/>
              </w:rPr>
            </w:pPr>
            <w:r w:rsidRPr="00584030">
              <w:rPr>
                <w:rFonts w:ascii="Times New Roman" w:hAnsi="Times New Roman"/>
                <w:bCs/>
                <w:sz w:val="22"/>
              </w:rPr>
              <w:t>jeżeli prospekt informacyjny, na podstawie którego zawarto umowę deweloperską, nie zawiera informacji określonych we wzorze prospektu informacyjnego stanowiącego załącznik do w/w ustawy</w:t>
            </w:r>
            <w:r w:rsidR="00205F9B">
              <w:rPr>
                <w:rFonts w:ascii="Times New Roman" w:hAnsi="Times New Roman"/>
                <w:bCs/>
                <w:sz w:val="22"/>
              </w:rPr>
              <w:t>,</w:t>
            </w:r>
          </w:p>
          <w:p w:rsidR="00584030" w:rsidRPr="00584030" w:rsidRDefault="00584030" w:rsidP="00605400">
            <w:pPr>
              <w:tabs>
                <w:tab w:val="right" w:leader="hyphen" w:pos="9640"/>
              </w:tabs>
              <w:spacing w:line="360" w:lineRule="auto"/>
              <w:ind w:left="98"/>
              <w:rPr>
                <w:bCs/>
              </w:rPr>
            </w:pPr>
            <w:r w:rsidRPr="00584030">
              <w:rPr>
                <w:bCs/>
              </w:rPr>
              <w:t>w w/w przypadkach strona nabywająca ma prawo odstąpić od umowy deweloperskiej, w terminie 30 dni od dnia jej zawarcia.</w:t>
            </w:r>
          </w:p>
          <w:p w:rsidR="00584030" w:rsidRDefault="00584030" w:rsidP="00605400">
            <w:pPr>
              <w:pStyle w:val="Akapitzlist"/>
              <w:numPr>
                <w:ilvl w:val="0"/>
                <w:numId w:val="37"/>
              </w:numPr>
              <w:tabs>
                <w:tab w:val="right" w:leader="hyphen" w:pos="9640"/>
              </w:tabs>
              <w:spacing w:line="360" w:lineRule="auto"/>
              <w:ind w:left="426"/>
              <w:rPr>
                <w:rFonts w:ascii="Times New Roman" w:hAnsi="Times New Roman"/>
                <w:bCs/>
                <w:sz w:val="22"/>
              </w:rPr>
            </w:pPr>
            <w:r w:rsidRPr="00584030">
              <w:rPr>
                <w:rFonts w:ascii="Times New Roman" w:hAnsi="Times New Roman"/>
                <w:bCs/>
                <w:sz w:val="22"/>
              </w:rPr>
              <w:t>gdy w domu jednorodzinnym podczas odbioru technicznego zostaną wykazane usterki przekraczające normy techniczne wynikające z prawa budowlanego, względnie zostaną wykazane odstępstwa od standardu ustalonego w załączniku do umowy, a deweloper nie usunie tych usterek w terminie do 30 (trzydziestu) dni od dnia podpisania protokołu odbioru technicznego, w którym zostaną stwierdzone powyższe usterki bądź odstępstwa. W takim wypadku strona nabywająca będzie uprawniona do odstąpienia od umowy w terminie do 30 dni, od dnia w którym upłynął 30 dniowy termin na usunięcie usterek stwierdzonych w </w:t>
            </w:r>
            <w:r w:rsidR="00205F9B">
              <w:rPr>
                <w:rFonts w:ascii="Times New Roman" w:hAnsi="Times New Roman"/>
                <w:bCs/>
                <w:sz w:val="22"/>
              </w:rPr>
              <w:t>protokole,</w:t>
            </w:r>
          </w:p>
          <w:p w:rsidR="00F9673D" w:rsidRPr="00F9673D" w:rsidRDefault="00F9673D" w:rsidP="00F9673D">
            <w:pPr>
              <w:pStyle w:val="Akapitzlist"/>
              <w:tabs>
                <w:tab w:val="right" w:leader="hyphen" w:pos="9640"/>
              </w:tabs>
              <w:spacing w:line="360" w:lineRule="auto"/>
              <w:ind w:left="426"/>
              <w:rPr>
                <w:rFonts w:ascii="Times New Roman" w:hAnsi="Times New Roman"/>
                <w:bCs/>
                <w:sz w:val="22"/>
              </w:rPr>
            </w:pPr>
            <w:r>
              <w:rPr>
                <w:rFonts w:ascii="Times New Roman" w:hAnsi="Times New Roman"/>
                <w:bCs/>
                <w:sz w:val="22"/>
              </w:rPr>
              <w:t>g</w:t>
            </w:r>
            <w:r w:rsidRPr="00F9673D">
              <w:rPr>
                <w:rFonts w:ascii="Times New Roman" w:hAnsi="Times New Roman"/>
                <w:bCs/>
                <w:sz w:val="22"/>
              </w:rPr>
              <w:t>/ w przypadku nie przeniesienia na nabywcę prawa własności przedmiotowej nieruchomości, w terminie określonym w niniejszej umowie, strona nabywająca będzie uprawniona do odstąpienia od umowy, po uprzednim wyznaczeniu deweloperowi 120-dniowego terminu na przeniesienie własności tej nieruchomości,</w:t>
            </w:r>
          </w:p>
          <w:p w:rsidR="00F9673D" w:rsidRDefault="00F9673D" w:rsidP="00F9673D">
            <w:pPr>
              <w:pStyle w:val="Akapitzlist"/>
              <w:tabs>
                <w:tab w:val="right" w:leader="hyphen" w:pos="9640"/>
              </w:tabs>
              <w:spacing w:line="360" w:lineRule="auto"/>
              <w:ind w:left="426"/>
              <w:rPr>
                <w:rFonts w:ascii="Times New Roman" w:hAnsi="Times New Roman"/>
                <w:bCs/>
                <w:sz w:val="22"/>
              </w:rPr>
            </w:pPr>
            <w:r>
              <w:rPr>
                <w:rFonts w:ascii="Times New Roman" w:hAnsi="Times New Roman"/>
                <w:bCs/>
                <w:sz w:val="22"/>
              </w:rPr>
              <w:t>h</w:t>
            </w:r>
            <w:r w:rsidRPr="00F9673D">
              <w:rPr>
                <w:rFonts w:ascii="Times New Roman" w:hAnsi="Times New Roman"/>
                <w:bCs/>
                <w:sz w:val="22"/>
              </w:rPr>
              <w:t>/ w przypadku podwyższenia stawki podatku od towarów i usług, mającej wpływ na wysokość ceny brutto przed dokonaniem przez stronę nabywającą pełnego rozliczenia, w terminie 30 dni od dnia wejścia w życie przepisów dotyczących podwyższenia tegoż podatku.</w:t>
            </w:r>
          </w:p>
          <w:p w:rsidR="002B2794" w:rsidRPr="00E17BAB" w:rsidRDefault="002B2794" w:rsidP="002B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7BAB">
              <w:t>i/ w przypadku różnicy między powierzchnią lokalu mieszkalnego, określoną w dokumentacji projektowej, a rzeczywistą powierzchnią lokalu mieszkalnego, większą niż 2%, w terminie 30 dni od dnia zawiadomienia o tym fakcie przez dewelopera,</w:t>
            </w:r>
          </w:p>
          <w:p w:rsidR="002B2794" w:rsidRPr="00584030" w:rsidRDefault="002B2794" w:rsidP="00F9673D">
            <w:pPr>
              <w:pStyle w:val="Akapitzlist"/>
              <w:tabs>
                <w:tab w:val="right" w:leader="hyphen" w:pos="9640"/>
              </w:tabs>
              <w:spacing w:line="360" w:lineRule="auto"/>
              <w:ind w:left="426"/>
              <w:rPr>
                <w:rFonts w:ascii="Times New Roman" w:hAnsi="Times New Roman"/>
                <w:bCs/>
                <w:sz w:val="22"/>
              </w:rPr>
            </w:pPr>
          </w:p>
          <w:p w:rsidR="00584030" w:rsidRPr="00F9673D" w:rsidRDefault="00584030" w:rsidP="00F9673D">
            <w:pPr>
              <w:tabs>
                <w:tab w:val="right" w:leader="hyphen" w:pos="9640"/>
              </w:tabs>
              <w:spacing w:line="360" w:lineRule="auto"/>
              <w:ind w:left="66"/>
              <w:rPr>
                <w:bCs/>
              </w:rPr>
            </w:pPr>
          </w:p>
          <w:p w:rsidR="00584030" w:rsidRPr="00605400" w:rsidRDefault="00584030" w:rsidP="00605400">
            <w:pPr>
              <w:tabs>
                <w:tab w:val="right" w:leader="hyphen" w:pos="9640"/>
              </w:tabs>
              <w:spacing w:line="360" w:lineRule="auto"/>
              <w:jc w:val="both"/>
              <w:rPr>
                <w:bCs/>
              </w:rPr>
            </w:pPr>
            <w:r w:rsidRPr="00605400">
              <w:rPr>
                <w:bCs/>
              </w:rPr>
              <w:t xml:space="preserve">W przypadku skorzystania przez stronę nabywającą z prawa odstąpienia, umowa uważana jest za </w:t>
            </w:r>
            <w:r w:rsidRPr="00605400">
              <w:rPr>
                <w:bCs/>
              </w:rPr>
              <w:lastRenderedPageBreak/>
              <w:t>niezawartą, a strona nabywająca nie ponosi żadnych kosztów związanych z odstąpieniem od umowy.</w:t>
            </w:r>
          </w:p>
          <w:p w:rsidR="00605400" w:rsidRDefault="00605400" w:rsidP="00605400">
            <w:pPr>
              <w:tabs>
                <w:tab w:val="right" w:leader="hyphen" w:pos="9640"/>
              </w:tabs>
              <w:spacing w:line="360" w:lineRule="auto"/>
              <w:jc w:val="both"/>
              <w:rPr>
                <w:bCs/>
              </w:rPr>
            </w:pPr>
          </w:p>
          <w:p w:rsidR="00584030" w:rsidRPr="00605400" w:rsidRDefault="00584030" w:rsidP="00605400">
            <w:pPr>
              <w:tabs>
                <w:tab w:val="right" w:leader="hyphen" w:pos="9640"/>
              </w:tabs>
              <w:spacing w:line="360" w:lineRule="auto"/>
              <w:jc w:val="both"/>
              <w:rPr>
                <w:bCs/>
              </w:rPr>
            </w:pPr>
            <w:r w:rsidRPr="00605400">
              <w:rPr>
                <w:bCs/>
              </w:rPr>
              <w:t>Oświadczenie woli strony nabywającej o odstąpieniu od umowy deweloperskiej jest skuteczne, jeżeli zawiera zgodę na wykreślenie roszczenia o przeniesienie własności nieruchomości, złożone w formie pisemnej z podpisami notarialnie poświadczonymi, w przypadku gdy został złożony wniosek o wpis takiego roszczenia do księgi wieczystej.</w:t>
            </w:r>
          </w:p>
          <w:p w:rsidR="00605400" w:rsidRDefault="00605400" w:rsidP="00584030">
            <w:pPr>
              <w:tabs>
                <w:tab w:val="right" w:leader="hyphen" w:pos="9640"/>
              </w:tabs>
              <w:spacing w:line="360" w:lineRule="auto"/>
              <w:jc w:val="both"/>
              <w:rPr>
                <w:bCs/>
              </w:rPr>
            </w:pPr>
          </w:p>
          <w:p w:rsidR="00584030" w:rsidRPr="00605400" w:rsidRDefault="00584030" w:rsidP="00584030">
            <w:pPr>
              <w:tabs>
                <w:tab w:val="right" w:leader="hyphen" w:pos="9640"/>
              </w:tabs>
              <w:spacing w:line="360" w:lineRule="auto"/>
              <w:jc w:val="both"/>
              <w:rPr>
                <w:bCs/>
              </w:rPr>
            </w:pPr>
            <w:r w:rsidRPr="00605400">
              <w:rPr>
                <w:bCs/>
              </w:rPr>
              <w:t>Deweloper ma prawo odstąpić od umowy deweloperskiej:</w:t>
            </w:r>
          </w:p>
          <w:p w:rsidR="00584030" w:rsidRPr="00605400" w:rsidRDefault="00584030" w:rsidP="00605400">
            <w:pPr>
              <w:pStyle w:val="Akapitzlist"/>
              <w:numPr>
                <w:ilvl w:val="0"/>
                <w:numId w:val="40"/>
              </w:numPr>
              <w:tabs>
                <w:tab w:val="right" w:leader="hyphen" w:pos="9640"/>
              </w:tabs>
              <w:spacing w:line="360" w:lineRule="auto"/>
              <w:ind w:left="426"/>
              <w:rPr>
                <w:rFonts w:ascii="Times New Roman" w:hAnsi="Times New Roman"/>
                <w:bCs/>
                <w:sz w:val="22"/>
              </w:rPr>
            </w:pPr>
            <w:r w:rsidRPr="00605400">
              <w:rPr>
                <w:rFonts w:ascii="Times New Roman" w:hAnsi="Times New Roman"/>
                <w:bCs/>
                <w:sz w:val="22"/>
              </w:rPr>
              <w:t>w przypadku niespełnienia przez stronę nabywającą świadczenia pieniężnego w terminie lub wysokości określonej w umowie deweloperskiej, mimo wezwania strony nabywającej w formie pisemnej do uiszczenia zaległych kwot, w terminie nie krótszym niż 30 dni od dnia doręczenia wezwania, chyba że niespełnienie przez stronę nabywającą świadczenia pieniężnego jest spowodowane działaniem siły wyższej</w:t>
            </w:r>
            <w:r w:rsidR="00205F9B">
              <w:rPr>
                <w:rFonts w:ascii="Times New Roman" w:hAnsi="Times New Roman"/>
                <w:bCs/>
                <w:sz w:val="22"/>
              </w:rPr>
              <w:t>,</w:t>
            </w:r>
          </w:p>
          <w:p w:rsidR="00605400" w:rsidRPr="00605400" w:rsidRDefault="00605400" w:rsidP="00605400">
            <w:pPr>
              <w:pStyle w:val="Akapitzlist"/>
              <w:numPr>
                <w:ilvl w:val="0"/>
                <w:numId w:val="40"/>
              </w:numPr>
              <w:tabs>
                <w:tab w:val="right" w:leader="hyphen" w:pos="9640"/>
              </w:tabs>
              <w:spacing w:line="360" w:lineRule="auto"/>
              <w:ind w:left="426"/>
              <w:rPr>
                <w:rFonts w:ascii="Times New Roman" w:hAnsi="Times New Roman"/>
                <w:bCs/>
                <w:sz w:val="22"/>
              </w:rPr>
            </w:pPr>
            <w:r w:rsidRPr="00605400">
              <w:rPr>
                <w:rFonts w:ascii="Times New Roman" w:hAnsi="Times New Roman"/>
                <w:bCs/>
                <w:sz w:val="22"/>
              </w:rPr>
              <w:t>w przypadku niestawienia się strony nabywającej do odbioru domu jednorodzinnego lub do podpisania aktu notarialnego przenoszącego na stronę nabywającą prawo własności przedmiotowej nieruchomości, pomimo dwukrotnego</w:t>
            </w:r>
            <w:r w:rsidRPr="00584030">
              <w:rPr>
                <w:rFonts w:ascii="Times New Roman" w:hAnsi="Times New Roman"/>
                <w:bCs/>
                <w:sz w:val="22"/>
              </w:rPr>
              <w:t xml:space="preserve"> doręczenia wezwania w formie pisemnej, w odstępie co najmniej 60 dni, w terminie 30 dni od dnia, w którym przypadał kolejny termin odbioru technicznego lub termin zawarcia aktu notarialnego, chyba że niestawienie się strony nabywającej jest spowodowane działaniem siły wyższej.</w:t>
            </w:r>
          </w:p>
          <w:p w:rsidR="00584030" w:rsidRPr="00584030" w:rsidRDefault="00584030" w:rsidP="00584030">
            <w:pPr>
              <w:tabs>
                <w:tab w:val="right" w:leader="hyphen" w:pos="9640"/>
              </w:tabs>
              <w:spacing w:line="360" w:lineRule="auto"/>
              <w:jc w:val="both"/>
              <w:rPr>
                <w:bCs/>
              </w:rPr>
            </w:pPr>
            <w:r w:rsidRPr="00584030">
              <w:rPr>
                <w:bCs/>
              </w:rPr>
              <w:t>W razie zaistnienia przesłanek do odstąpienia od umowy deweloperskiej przez dewelopera z w/w powodów oraz skorzystania przez niego z tegoż prawa, strona nabywająca zobowiązana jest wyrazić zgodę na wykreślenie wpisanego na jej rzecz roszczenia o przeniesienie własności nieruchomości.</w:t>
            </w:r>
          </w:p>
          <w:p w:rsidR="00605400" w:rsidRDefault="00605400" w:rsidP="00584030">
            <w:pPr>
              <w:tabs>
                <w:tab w:val="right" w:leader="hyphen" w:pos="9640"/>
              </w:tabs>
              <w:spacing w:line="360" w:lineRule="auto"/>
              <w:jc w:val="both"/>
              <w:rPr>
                <w:bCs/>
              </w:rPr>
            </w:pPr>
          </w:p>
          <w:p w:rsidR="00584030" w:rsidRPr="00605400" w:rsidRDefault="00605400" w:rsidP="00584030">
            <w:pPr>
              <w:tabs>
                <w:tab w:val="right" w:leader="hyphen" w:pos="9640"/>
              </w:tabs>
              <w:spacing w:line="360" w:lineRule="auto"/>
              <w:jc w:val="both"/>
              <w:rPr>
                <w:bCs/>
              </w:rPr>
            </w:pPr>
            <w:r>
              <w:rPr>
                <w:bCs/>
              </w:rPr>
              <w:t>S</w:t>
            </w:r>
            <w:r w:rsidR="00584030" w:rsidRPr="00584030">
              <w:rPr>
                <w:bCs/>
              </w:rPr>
              <w:t>trony postanawiają</w:t>
            </w:r>
            <w:r w:rsidR="00584030" w:rsidRPr="00605400">
              <w:rPr>
                <w:bCs/>
              </w:rPr>
              <w:t>, że:</w:t>
            </w:r>
          </w:p>
          <w:p w:rsidR="00584030" w:rsidRPr="00605400" w:rsidRDefault="00584030" w:rsidP="00605400">
            <w:pPr>
              <w:pStyle w:val="Akapitzlist"/>
              <w:numPr>
                <w:ilvl w:val="0"/>
                <w:numId w:val="41"/>
              </w:numPr>
              <w:tabs>
                <w:tab w:val="right" w:leader="hyphen" w:pos="9640"/>
              </w:tabs>
              <w:spacing w:line="360" w:lineRule="auto"/>
              <w:ind w:left="426"/>
              <w:rPr>
                <w:rFonts w:ascii="Times New Roman" w:hAnsi="Times New Roman"/>
                <w:bCs/>
                <w:sz w:val="22"/>
              </w:rPr>
            </w:pPr>
            <w:r w:rsidRPr="00605400">
              <w:rPr>
                <w:rFonts w:ascii="Times New Roman" w:hAnsi="Times New Roman"/>
                <w:sz w:val="22"/>
              </w:rPr>
              <w:t>w wypadku niewykonania niniejszej umowy i odstąpienia od niej z powodów zawinionych przez dewelopera, deweloper zobowiązany będzie zwrócić stronie nabywającej podwójną kwotę zapłaconego zadatku oraz całą kwotę wpłaconej zaliczki, w </w:t>
            </w:r>
            <w:r w:rsidRPr="00605400">
              <w:rPr>
                <w:rFonts w:ascii="Times New Roman" w:hAnsi="Times New Roman"/>
                <w:bCs/>
                <w:sz w:val="22"/>
              </w:rPr>
              <w:t>terminie 30 dni licząc od dnia otrzymania oświadczenia o </w:t>
            </w:r>
            <w:r w:rsidR="00205F9B">
              <w:rPr>
                <w:rFonts w:ascii="Times New Roman" w:hAnsi="Times New Roman"/>
                <w:bCs/>
                <w:sz w:val="22"/>
              </w:rPr>
              <w:t>odstąpieniu,</w:t>
            </w:r>
          </w:p>
          <w:p w:rsidR="00605400" w:rsidRPr="00605400" w:rsidRDefault="00605400" w:rsidP="00605400">
            <w:pPr>
              <w:pStyle w:val="Akapitzlist"/>
              <w:numPr>
                <w:ilvl w:val="0"/>
                <w:numId w:val="41"/>
              </w:numPr>
              <w:tabs>
                <w:tab w:val="right" w:leader="hyphen" w:pos="9640"/>
              </w:tabs>
              <w:spacing w:line="360" w:lineRule="auto"/>
              <w:ind w:left="426"/>
              <w:rPr>
                <w:rFonts w:ascii="Times New Roman" w:hAnsi="Times New Roman"/>
                <w:sz w:val="22"/>
              </w:rPr>
            </w:pPr>
            <w:r w:rsidRPr="00605400">
              <w:rPr>
                <w:rFonts w:ascii="Times New Roman" w:hAnsi="Times New Roman"/>
                <w:sz w:val="22"/>
              </w:rPr>
              <w:t>w wypadku niewykonania niniejszej umowy i odstąpienia od niej z powodów zawinionych przez stronę nabywającą, kwota zapłaconego zadatku nie podlega zwróceniu, a deweloper zobowiązany będzie zwrócić stronie nabywającej całą kwotę wpłaconej zaliczki</w:t>
            </w:r>
            <w:r w:rsidRPr="00584030">
              <w:rPr>
                <w:rFonts w:ascii="Times New Roman" w:hAnsi="Times New Roman"/>
                <w:sz w:val="22"/>
              </w:rPr>
              <w:t>, w </w:t>
            </w:r>
            <w:r w:rsidRPr="00584030">
              <w:rPr>
                <w:rFonts w:ascii="Times New Roman" w:hAnsi="Times New Roman"/>
                <w:bCs/>
                <w:sz w:val="22"/>
              </w:rPr>
              <w:t>terminie 30 dni licząc od dnia otrzymania oświadczenia o odstąpieniu</w:t>
            </w:r>
            <w:r w:rsidR="00205F9B">
              <w:rPr>
                <w:rFonts w:ascii="Times New Roman" w:hAnsi="Times New Roman"/>
                <w:bCs/>
                <w:sz w:val="22"/>
              </w:rPr>
              <w:t>,</w:t>
            </w:r>
          </w:p>
          <w:p w:rsidR="004C60B3" w:rsidRPr="00605400" w:rsidRDefault="00605400" w:rsidP="00605400">
            <w:pPr>
              <w:pStyle w:val="Akapitzlist"/>
              <w:numPr>
                <w:ilvl w:val="0"/>
                <w:numId w:val="41"/>
              </w:numPr>
              <w:tabs>
                <w:tab w:val="right" w:leader="hyphen" w:pos="9640"/>
              </w:tabs>
              <w:spacing w:line="360" w:lineRule="auto"/>
              <w:ind w:left="426"/>
              <w:rPr>
                <w:rFonts w:ascii="Times New Roman" w:hAnsi="Times New Roman"/>
                <w:sz w:val="22"/>
              </w:rPr>
            </w:pPr>
            <w:r w:rsidRPr="00584030">
              <w:rPr>
                <w:rFonts w:ascii="Times New Roman" w:hAnsi="Times New Roman"/>
                <w:sz w:val="22"/>
              </w:rPr>
              <w:lastRenderedPageBreak/>
              <w:t>w wypadku niewykonania niniejszej umowy wskutek okoliczności, za które żadna ze stron nie ponosi odpowiedzialności albo za które ponoszą odpowiedzialność obie strony, deweloper zobowiązany będzie zwrócić stronie nabywającej kwotę zapłaconego zadatku oraz całą kwotę wpłaconej zaliczki, w </w:t>
            </w:r>
            <w:r w:rsidRPr="00584030">
              <w:rPr>
                <w:rFonts w:ascii="Times New Roman" w:hAnsi="Times New Roman"/>
                <w:bCs/>
                <w:sz w:val="22"/>
              </w:rPr>
              <w:t>terminie 30 dni licząc od dnia otrzymania oświadczenia o odstąpieniu</w:t>
            </w:r>
            <w:r w:rsidRPr="00584030">
              <w:rPr>
                <w:rFonts w:ascii="Times New Roman" w:hAnsi="Times New Roman"/>
                <w:sz w:val="22"/>
              </w:rPr>
              <w:t>.</w:t>
            </w:r>
            <w:r w:rsidR="00584030" w:rsidRPr="00605400">
              <w:rPr>
                <w:rFonts w:ascii="Times New Roman" w:hAnsi="Times New Roman"/>
                <w:sz w:val="22"/>
              </w:rPr>
              <w:t xml:space="preserve"> </w:t>
            </w:r>
          </w:p>
        </w:tc>
      </w:tr>
      <w:tr w:rsidR="0048466B" w:rsidRPr="00584030" w:rsidTr="008B2E0A">
        <w:tc>
          <w:tcPr>
            <w:tcW w:w="9210" w:type="dxa"/>
            <w:gridSpan w:val="3"/>
          </w:tcPr>
          <w:p w:rsidR="0048466B" w:rsidRPr="0048466B" w:rsidRDefault="0048466B" w:rsidP="008B2E0A">
            <w:pPr>
              <w:tabs>
                <w:tab w:val="right" w:leader="hyphen" w:pos="9640"/>
              </w:tabs>
              <w:spacing w:line="360" w:lineRule="auto"/>
              <w:jc w:val="both"/>
              <w:rPr>
                <w:bCs/>
              </w:rPr>
            </w:pPr>
            <w:r w:rsidRPr="0048466B">
              <w:rPr>
                <w:bCs/>
              </w:rPr>
              <w:lastRenderedPageBreak/>
              <w:t>Istnieje możliwość zapoznania się w lokalu przedsiębiorstwa przez osobę zainteresowaną zawarciem umowy deweloperskiej z:</w:t>
            </w:r>
          </w:p>
          <w:p w:rsidR="0048466B" w:rsidRPr="0048466B" w:rsidRDefault="0048466B" w:rsidP="008B2E0A">
            <w:pPr>
              <w:tabs>
                <w:tab w:val="right" w:leader="hyphen" w:pos="9640"/>
              </w:tabs>
              <w:spacing w:line="360" w:lineRule="auto"/>
              <w:jc w:val="both"/>
              <w:rPr>
                <w:bCs/>
              </w:rPr>
            </w:pPr>
            <w:r w:rsidRPr="0048466B">
              <w:rPr>
                <w:bCs/>
              </w:rPr>
              <w:t>1) aktualnym stanem księgi wieczystej prowadzonej dla nieruchomości,</w:t>
            </w:r>
          </w:p>
          <w:p w:rsidR="0048466B" w:rsidRPr="0048466B" w:rsidRDefault="0048466B" w:rsidP="008B2E0A">
            <w:pPr>
              <w:tabs>
                <w:tab w:val="right" w:leader="hyphen" w:pos="9640"/>
              </w:tabs>
              <w:spacing w:line="360" w:lineRule="auto"/>
              <w:jc w:val="both"/>
              <w:rPr>
                <w:bCs/>
              </w:rPr>
            </w:pPr>
            <w:r w:rsidRPr="0048466B">
              <w:rPr>
                <w:bCs/>
              </w:rPr>
              <w:t>2) kopią aktualnego zaświadczenia o wpisie do Centralnej Ewidencji i Informacji o Działalności</w:t>
            </w:r>
          </w:p>
          <w:p w:rsidR="0048466B" w:rsidRPr="0048466B" w:rsidRDefault="0048466B" w:rsidP="008B2E0A">
            <w:pPr>
              <w:tabs>
                <w:tab w:val="right" w:leader="hyphen" w:pos="9640"/>
              </w:tabs>
              <w:spacing w:line="360" w:lineRule="auto"/>
              <w:jc w:val="both"/>
              <w:rPr>
                <w:bCs/>
              </w:rPr>
            </w:pPr>
            <w:r w:rsidRPr="0048466B">
              <w:rPr>
                <w:bCs/>
              </w:rPr>
              <w:t>Gospodarczej,</w:t>
            </w:r>
          </w:p>
          <w:p w:rsidR="0048466B" w:rsidRPr="0048466B" w:rsidRDefault="0048466B" w:rsidP="008B2E0A">
            <w:pPr>
              <w:tabs>
                <w:tab w:val="right" w:leader="hyphen" w:pos="9640"/>
              </w:tabs>
              <w:spacing w:line="360" w:lineRule="auto"/>
              <w:jc w:val="both"/>
              <w:rPr>
                <w:bCs/>
              </w:rPr>
            </w:pPr>
            <w:r w:rsidRPr="0048466B">
              <w:rPr>
                <w:bCs/>
              </w:rPr>
              <w:t>3) kopią pozwolenia na budowę,</w:t>
            </w:r>
          </w:p>
          <w:p w:rsidR="0048466B" w:rsidRPr="0048466B" w:rsidRDefault="0048466B" w:rsidP="008B2E0A">
            <w:pPr>
              <w:tabs>
                <w:tab w:val="right" w:leader="hyphen" w:pos="9640"/>
              </w:tabs>
              <w:spacing w:line="360" w:lineRule="auto"/>
              <w:jc w:val="both"/>
              <w:rPr>
                <w:bCs/>
              </w:rPr>
            </w:pPr>
            <w:r w:rsidRPr="0048466B">
              <w:rPr>
                <w:bCs/>
              </w:rPr>
              <w:t>4) sprawozdaniem finansowym dewelopera,</w:t>
            </w:r>
          </w:p>
          <w:p w:rsidR="0048466B" w:rsidRPr="00584030" w:rsidRDefault="0048466B" w:rsidP="008B2E0A">
            <w:pPr>
              <w:tabs>
                <w:tab w:val="right" w:leader="hyphen" w:pos="9640"/>
              </w:tabs>
              <w:spacing w:line="360" w:lineRule="auto"/>
              <w:jc w:val="both"/>
            </w:pPr>
            <w:r w:rsidRPr="0048466B">
              <w:rPr>
                <w:bCs/>
              </w:rPr>
              <w:t>5) projektem architektoniczno-budowlanym.</w:t>
            </w:r>
          </w:p>
        </w:tc>
      </w:tr>
      <w:tr w:rsidR="00C82C75" w:rsidRPr="00E354A7" w:rsidTr="00292CDA">
        <w:trPr>
          <w:trHeight w:val="558"/>
        </w:trPr>
        <w:tc>
          <w:tcPr>
            <w:tcW w:w="9210" w:type="dxa"/>
            <w:gridSpan w:val="3"/>
          </w:tcPr>
          <w:p w:rsidR="004C60B3" w:rsidRPr="00E354A7" w:rsidRDefault="00292CDA" w:rsidP="00292CDA">
            <w:pPr>
              <w:spacing w:line="360" w:lineRule="auto"/>
              <w:rPr>
                <w:highlight w:val="yellow"/>
              </w:rPr>
            </w:pPr>
            <w:r w:rsidRPr="00292CDA">
              <w:t>INNE INFORMACJE</w:t>
            </w:r>
          </w:p>
        </w:tc>
      </w:tr>
    </w:tbl>
    <w:p w:rsidR="00E62428" w:rsidRPr="00E354A7" w:rsidRDefault="00E62428" w:rsidP="009A65DF">
      <w:pPr>
        <w:spacing w:line="360" w:lineRule="auto"/>
        <w:rPr>
          <w:b/>
          <w:sz w:val="22"/>
          <w:szCs w:val="22"/>
          <w:highlight w:val="yellow"/>
        </w:rPr>
      </w:pPr>
    </w:p>
    <w:p w:rsidR="00194D24" w:rsidRDefault="00194D24" w:rsidP="00C85D86">
      <w:pPr>
        <w:spacing w:after="200" w:line="276" w:lineRule="auto"/>
        <w:rPr>
          <w:sz w:val="28"/>
          <w:szCs w:val="22"/>
        </w:rPr>
      </w:pPr>
      <w:bookmarkStart w:id="6" w:name="_Toc324755946"/>
    </w:p>
    <w:p w:rsidR="00605400" w:rsidRDefault="00605400" w:rsidP="00C85D86">
      <w:pPr>
        <w:spacing w:after="200" w:line="276" w:lineRule="auto"/>
        <w:rPr>
          <w:sz w:val="28"/>
          <w:szCs w:val="22"/>
        </w:rPr>
      </w:pPr>
    </w:p>
    <w:p w:rsidR="00605400" w:rsidRDefault="00605400" w:rsidP="00C85D86">
      <w:pPr>
        <w:spacing w:after="200" w:line="276" w:lineRule="auto"/>
        <w:rPr>
          <w:sz w:val="28"/>
          <w:szCs w:val="22"/>
        </w:rPr>
      </w:pPr>
    </w:p>
    <w:p w:rsidR="00605400" w:rsidRDefault="00605400" w:rsidP="00C85D86">
      <w:pPr>
        <w:spacing w:after="200" w:line="276" w:lineRule="auto"/>
        <w:rPr>
          <w:sz w:val="28"/>
          <w:szCs w:val="22"/>
        </w:rPr>
      </w:pPr>
    </w:p>
    <w:p w:rsidR="00605400" w:rsidRDefault="00605400" w:rsidP="00C85D86">
      <w:pPr>
        <w:spacing w:after="200" w:line="276" w:lineRule="auto"/>
        <w:rPr>
          <w:sz w:val="28"/>
          <w:szCs w:val="22"/>
        </w:rPr>
      </w:pPr>
    </w:p>
    <w:p w:rsidR="00605400" w:rsidRDefault="00605400">
      <w:pPr>
        <w:spacing w:after="200" w:line="276" w:lineRule="auto"/>
        <w:rPr>
          <w:sz w:val="28"/>
          <w:szCs w:val="22"/>
        </w:rPr>
      </w:pPr>
    </w:p>
    <w:p w:rsidR="00605400" w:rsidRDefault="00605400" w:rsidP="00C85D86">
      <w:pPr>
        <w:spacing w:after="200" w:line="276" w:lineRule="auto"/>
        <w:rPr>
          <w:sz w:val="28"/>
          <w:szCs w:val="22"/>
        </w:rPr>
      </w:pPr>
    </w:p>
    <w:p w:rsidR="00E62428" w:rsidRPr="00205F9B" w:rsidRDefault="0018055D" w:rsidP="00205F9B">
      <w:pPr>
        <w:pStyle w:val="Nagwek1"/>
        <w:spacing w:line="360" w:lineRule="auto"/>
        <w:rPr>
          <w:rFonts w:ascii="Times New Roman" w:hAnsi="Times New Roman" w:cs="Times New Roman"/>
          <w:sz w:val="28"/>
          <w:szCs w:val="22"/>
        </w:rPr>
      </w:pPr>
      <w:bookmarkStart w:id="7" w:name="_Toc337026257"/>
      <w:r w:rsidRPr="00205F9B">
        <w:rPr>
          <w:rFonts w:ascii="Times New Roman" w:hAnsi="Times New Roman" w:cs="Times New Roman"/>
          <w:sz w:val="28"/>
          <w:szCs w:val="22"/>
        </w:rPr>
        <w:t>Część indywidualna</w:t>
      </w:r>
      <w:bookmarkEnd w:id="6"/>
      <w:bookmarkEnd w:id="7"/>
    </w:p>
    <w:p w:rsidR="00E62428" w:rsidRPr="00E354A7" w:rsidRDefault="00E62428" w:rsidP="009A65DF">
      <w:pPr>
        <w:spacing w:line="360" w:lineRule="auto"/>
        <w:rPr>
          <w:b/>
          <w:sz w:val="22"/>
          <w:szCs w:val="22"/>
          <w:highlight w:val="yellow"/>
        </w:rPr>
      </w:pPr>
    </w:p>
    <w:tbl>
      <w:tblPr>
        <w:tblStyle w:val="Tabela-Siatka"/>
        <w:tblW w:w="0" w:type="auto"/>
        <w:tblLook w:val="04A0" w:firstRow="1" w:lastRow="0" w:firstColumn="1" w:lastColumn="0" w:noHBand="0" w:noVBand="1"/>
      </w:tblPr>
      <w:tblGrid>
        <w:gridCol w:w="2660"/>
        <w:gridCol w:w="2268"/>
        <w:gridCol w:w="4282"/>
      </w:tblGrid>
      <w:tr w:rsidR="00C82C75" w:rsidRPr="00E354A7" w:rsidTr="00064F14">
        <w:tc>
          <w:tcPr>
            <w:tcW w:w="2660" w:type="dxa"/>
          </w:tcPr>
          <w:p w:rsidR="00C82C75" w:rsidRPr="00E601B7" w:rsidRDefault="00C82C75" w:rsidP="009A65DF">
            <w:pPr>
              <w:spacing w:line="360" w:lineRule="auto"/>
              <w:rPr>
                <w:b/>
              </w:rPr>
            </w:pPr>
            <w:r w:rsidRPr="00E601B7">
              <w:t>Cena metra kwadratowego powierzchni lokalu mieszkalnego lub domu jednorodzinnego</w:t>
            </w:r>
          </w:p>
        </w:tc>
        <w:tc>
          <w:tcPr>
            <w:tcW w:w="6550" w:type="dxa"/>
            <w:gridSpan w:val="2"/>
          </w:tcPr>
          <w:p w:rsidR="00447BC4" w:rsidRPr="00E22A12" w:rsidRDefault="00447BC4" w:rsidP="00E22A12"/>
        </w:tc>
      </w:tr>
      <w:tr w:rsidR="00BE6465" w:rsidRPr="00E354A7" w:rsidTr="00E75BA0">
        <w:tc>
          <w:tcPr>
            <w:tcW w:w="2660" w:type="dxa"/>
            <w:vMerge w:val="restart"/>
          </w:tcPr>
          <w:p w:rsidR="00BE6465" w:rsidRPr="00E601B7" w:rsidRDefault="00BE6465" w:rsidP="009A65DF">
            <w:pPr>
              <w:spacing w:line="360" w:lineRule="auto"/>
              <w:rPr>
                <w:b/>
                <w:highlight w:val="yellow"/>
              </w:rPr>
            </w:pPr>
            <w:r w:rsidRPr="00E601B7">
              <w:t xml:space="preserve">Określenie położenia oraz </w:t>
            </w:r>
            <w:r w:rsidRPr="00E601B7">
              <w:lastRenderedPageBreak/>
              <w:t>istotnych cech domu jednorodzinnego będącego przedmiotem umowy deweloperskiej lub budynku w którym ma znajdować się lokal mieszkalny będący przedmiotem umowy deweloperskiej</w:t>
            </w:r>
          </w:p>
        </w:tc>
        <w:tc>
          <w:tcPr>
            <w:tcW w:w="2268" w:type="dxa"/>
          </w:tcPr>
          <w:p w:rsidR="00BE6465" w:rsidRPr="00E601B7" w:rsidRDefault="00BE6465" w:rsidP="009A65DF">
            <w:pPr>
              <w:spacing w:line="360" w:lineRule="auto"/>
            </w:pPr>
            <w:r w:rsidRPr="00E601B7">
              <w:lastRenderedPageBreak/>
              <w:t>Liczba kondygnacji</w:t>
            </w:r>
          </w:p>
        </w:tc>
        <w:tc>
          <w:tcPr>
            <w:tcW w:w="4282" w:type="dxa"/>
          </w:tcPr>
          <w:p w:rsidR="00BE6465" w:rsidRPr="00E601B7" w:rsidRDefault="00202E92" w:rsidP="00202E92">
            <w:pPr>
              <w:spacing w:line="360" w:lineRule="auto"/>
            </w:pPr>
            <w:r>
              <w:t>Parter,</w:t>
            </w:r>
            <w:r w:rsidR="00EB1DE1">
              <w:t xml:space="preserve"> </w:t>
            </w:r>
            <w:r>
              <w:t>Piętro</w:t>
            </w:r>
            <w:r w:rsidR="00EB1DE1">
              <w:t xml:space="preserve"> </w:t>
            </w:r>
            <w:r w:rsidR="007B33E5">
              <w:t xml:space="preserve">z </w:t>
            </w:r>
            <w:r>
              <w:t>Poddasze</w:t>
            </w:r>
            <w:r w:rsidR="007B33E5">
              <w:t>m</w:t>
            </w:r>
          </w:p>
        </w:tc>
      </w:tr>
      <w:tr w:rsidR="00BE6465" w:rsidRPr="00E354A7" w:rsidTr="00E75BA0">
        <w:tc>
          <w:tcPr>
            <w:tcW w:w="2660" w:type="dxa"/>
            <w:vMerge/>
          </w:tcPr>
          <w:p w:rsidR="00BE6465" w:rsidRPr="00E601B7" w:rsidRDefault="00BE6465" w:rsidP="009A65DF">
            <w:pPr>
              <w:spacing w:line="360" w:lineRule="auto"/>
              <w:rPr>
                <w:b/>
                <w:highlight w:val="yellow"/>
              </w:rPr>
            </w:pPr>
          </w:p>
        </w:tc>
        <w:tc>
          <w:tcPr>
            <w:tcW w:w="2268" w:type="dxa"/>
          </w:tcPr>
          <w:p w:rsidR="00BE6465" w:rsidRPr="00E601B7" w:rsidRDefault="00BE6465" w:rsidP="009A65DF">
            <w:pPr>
              <w:spacing w:line="360" w:lineRule="auto"/>
            </w:pPr>
            <w:r w:rsidRPr="00E601B7">
              <w:t>Technologia wykonania</w:t>
            </w:r>
          </w:p>
        </w:tc>
        <w:tc>
          <w:tcPr>
            <w:tcW w:w="4282" w:type="dxa"/>
          </w:tcPr>
          <w:p w:rsidR="00BE6465" w:rsidRPr="00E601B7" w:rsidRDefault="004C60B3" w:rsidP="00C76405">
            <w:pPr>
              <w:spacing w:line="360" w:lineRule="auto"/>
              <w:jc w:val="center"/>
            </w:pPr>
            <w:r w:rsidRPr="00E601B7">
              <w:t>Wg załącznika nr</w:t>
            </w:r>
            <w:r w:rsidR="00FD01A5">
              <w:t xml:space="preserve">  3</w:t>
            </w:r>
          </w:p>
        </w:tc>
      </w:tr>
      <w:tr w:rsidR="00BE6465" w:rsidRPr="00E354A7" w:rsidTr="00E75BA0">
        <w:tc>
          <w:tcPr>
            <w:tcW w:w="2660" w:type="dxa"/>
            <w:vMerge/>
          </w:tcPr>
          <w:p w:rsidR="00BE6465" w:rsidRPr="00E601B7" w:rsidRDefault="00BE6465" w:rsidP="009A65DF">
            <w:pPr>
              <w:spacing w:line="360" w:lineRule="auto"/>
              <w:rPr>
                <w:b/>
                <w:highlight w:val="yellow"/>
              </w:rPr>
            </w:pPr>
          </w:p>
        </w:tc>
        <w:tc>
          <w:tcPr>
            <w:tcW w:w="2268" w:type="dxa"/>
          </w:tcPr>
          <w:p w:rsidR="00BE6465" w:rsidRPr="00E601B7" w:rsidRDefault="00BE6465" w:rsidP="009A65DF">
            <w:pPr>
              <w:spacing w:line="360" w:lineRule="auto"/>
            </w:pPr>
            <w:r w:rsidRPr="00E601B7">
              <w:t>Standard prac wykończeniowych w części wspólnej budynku i terenu wokół niego, stanowiącym część wspólną nieruchomości</w:t>
            </w:r>
          </w:p>
        </w:tc>
        <w:tc>
          <w:tcPr>
            <w:tcW w:w="4282" w:type="dxa"/>
          </w:tcPr>
          <w:p w:rsidR="00BE6465" w:rsidRPr="00E601B7" w:rsidRDefault="004C60B3" w:rsidP="00C76405">
            <w:pPr>
              <w:spacing w:line="360" w:lineRule="auto"/>
              <w:jc w:val="center"/>
            </w:pPr>
            <w:r w:rsidRPr="00E601B7">
              <w:t xml:space="preserve">Wg załącznika nr </w:t>
            </w:r>
            <w:r w:rsidR="00FD01A5">
              <w:t>4</w:t>
            </w:r>
          </w:p>
        </w:tc>
      </w:tr>
      <w:tr w:rsidR="00BE6465" w:rsidRPr="00E354A7" w:rsidTr="00E75BA0">
        <w:tc>
          <w:tcPr>
            <w:tcW w:w="2660" w:type="dxa"/>
            <w:vMerge/>
          </w:tcPr>
          <w:p w:rsidR="00BE6465" w:rsidRPr="00E601B7" w:rsidRDefault="00BE6465" w:rsidP="009A65DF">
            <w:pPr>
              <w:spacing w:line="360" w:lineRule="auto"/>
              <w:jc w:val="both"/>
              <w:rPr>
                <w:b/>
                <w:highlight w:val="yellow"/>
              </w:rPr>
            </w:pPr>
          </w:p>
        </w:tc>
        <w:tc>
          <w:tcPr>
            <w:tcW w:w="2268" w:type="dxa"/>
          </w:tcPr>
          <w:p w:rsidR="00BE6465" w:rsidRPr="00E601B7" w:rsidRDefault="00BE6465" w:rsidP="009A65DF">
            <w:pPr>
              <w:spacing w:line="360" w:lineRule="auto"/>
            </w:pPr>
            <w:r w:rsidRPr="00E601B7">
              <w:t>Liczba lokali w budynku</w:t>
            </w:r>
            <w:r w:rsidR="00FD01A5">
              <w:t xml:space="preserve"> nr 2-14</w:t>
            </w:r>
          </w:p>
        </w:tc>
        <w:tc>
          <w:tcPr>
            <w:tcW w:w="4282" w:type="dxa"/>
          </w:tcPr>
          <w:p w:rsidR="00BE6465" w:rsidRPr="00E601B7" w:rsidRDefault="007B33E5" w:rsidP="009A65DF">
            <w:pPr>
              <w:spacing w:line="360" w:lineRule="auto"/>
              <w:jc w:val="center"/>
            </w:pPr>
            <w:r>
              <w:t>2</w:t>
            </w:r>
          </w:p>
        </w:tc>
      </w:tr>
      <w:tr w:rsidR="00BE6465" w:rsidRPr="00E354A7" w:rsidTr="00E75BA0">
        <w:tc>
          <w:tcPr>
            <w:tcW w:w="2660" w:type="dxa"/>
            <w:vMerge/>
          </w:tcPr>
          <w:p w:rsidR="00BE6465" w:rsidRPr="00E601B7" w:rsidRDefault="00BE6465" w:rsidP="009A65DF">
            <w:pPr>
              <w:spacing w:line="360" w:lineRule="auto"/>
              <w:jc w:val="both"/>
              <w:rPr>
                <w:b/>
                <w:highlight w:val="yellow"/>
              </w:rPr>
            </w:pPr>
          </w:p>
        </w:tc>
        <w:tc>
          <w:tcPr>
            <w:tcW w:w="2268" w:type="dxa"/>
          </w:tcPr>
          <w:p w:rsidR="00BE6465" w:rsidRPr="00E601B7" w:rsidRDefault="00FD01A5" w:rsidP="009A65DF">
            <w:pPr>
              <w:spacing w:line="360" w:lineRule="auto"/>
            </w:pPr>
            <w:r w:rsidRPr="00E601B7">
              <w:t>Liczba lokali w budynku</w:t>
            </w:r>
            <w:r>
              <w:t xml:space="preserve"> nr  1</w:t>
            </w:r>
          </w:p>
        </w:tc>
        <w:tc>
          <w:tcPr>
            <w:tcW w:w="4282" w:type="dxa"/>
          </w:tcPr>
          <w:p w:rsidR="00207CF6" w:rsidRPr="00E601B7" w:rsidRDefault="00FD01A5" w:rsidP="00B75B33">
            <w:pPr>
              <w:spacing w:line="360" w:lineRule="auto"/>
              <w:jc w:val="both"/>
            </w:pPr>
            <w:r>
              <w:t xml:space="preserve">                                    1</w:t>
            </w:r>
          </w:p>
        </w:tc>
      </w:tr>
      <w:tr w:rsidR="00BE6465" w:rsidRPr="00E354A7" w:rsidTr="00E75BA0">
        <w:tc>
          <w:tcPr>
            <w:tcW w:w="2660" w:type="dxa"/>
            <w:vMerge/>
          </w:tcPr>
          <w:p w:rsidR="00BE6465" w:rsidRPr="00E601B7" w:rsidRDefault="00BE6465" w:rsidP="009A65DF">
            <w:pPr>
              <w:spacing w:line="360" w:lineRule="auto"/>
              <w:jc w:val="both"/>
              <w:rPr>
                <w:b/>
                <w:highlight w:val="yellow"/>
              </w:rPr>
            </w:pPr>
          </w:p>
        </w:tc>
        <w:tc>
          <w:tcPr>
            <w:tcW w:w="2268" w:type="dxa"/>
          </w:tcPr>
          <w:p w:rsidR="00BE6465" w:rsidRPr="00E601B7" w:rsidRDefault="00BE6465" w:rsidP="009A65DF">
            <w:pPr>
              <w:spacing w:line="360" w:lineRule="auto"/>
            </w:pPr>
            <w:r w:rsidRPr="00E601B7">
              <w:t>Dostępne media w budynku</w:t>
            </w:r>
          </w:p>
        </w:tc>
        <w:tc>
          <w:tcPr>
            <w:tcW w:w="4282" w:type="dxa"/>
          </w:tcPr>
          <w:p w:rsidR="00B937E5" w:rsidRPr="008568B4" w:rsidRDefault="00B937E5" w:rsidP="009A65DF">
            <w:pPr>
              <w:spacing w:line="360" w:lineRule="auto"/>
              <w:jc w:val="both"/>
              <w:rPr>
                <w:highlight w:val="yellow"/>
              </w:rPr>
            </w:pPr>
            <w:r w:rsidRPr="00E601B7">
              <w:t xml:space="preserve">- </w:t>
            </w:r>
            <w:r w:rsidRPr="00E60E52">
              <w:t>instalacja wodociągowa zasilana z sieci wodociągowej zlokalizowane</w:t>
            </w:r>
            <w:r w:rsidR="00B75B33" w:rsidRPr="00E60E52">
              <w:t>j</w:t>
            </w:r>
            <w:r w:rsidRPr="00E60E52">
              <w:t xml:space="preserve"> w</w:t>
            </w:r>
            <w:r w:rsidR="00E60E52" w:rsidRPr="00E60E52">
              <w:t xml:space="preserve"> </w:t>
            </w:r>
            <w:r w:rsidR="00B673C2">
              <w:t xml:space="preserve"> dz nr  278/1</w:t>
            </w:r>
          </w:p>
          <w:p w:rsidR="00B937E5" w:rsidRDefault="00B937E5" w:rsidP="009A65DF">
            <w:pPr>
              <w:spacing w:line="360" w:lineRule="auto"/>
              <w:jc w:val="both"/>
            </w:pPr>
            <w:r w:rsidRPr="00E60E52">
              <w:t>- instalacja kanalizacji sanitarnej</w:t>
            </w:r>
            <w:r w:rsidR="00D879A7">
              <w:t xml:space="preserve"> </w:t>
            </w:r>
            <w:r w:rsidRPr="00E60E52">
              <w:t xml:space="preserve"> podłączona do</w:t>
            </w:r>
            <w:r w:rsidR="00B673C2">
              <w:t xml:space="preserve"> projektowanej </w:t>
            </w:r>
            <w:r w:rsidRPr="00E60E52">
              <w:t xml:space="preserve"> sieci zlokalizowanej w </w:t>
            </w:r>
            <w:r w:rsidR="00832179" w:rsidRPr="00E60E52">
              <w:t xml:space="preserve">działce nr </w:t>
            </w:r>
            <w:r w:rsidR="00B673C2">
              <w:t xml:space="preserve">274 </w:t>
            </w:r>
          </w:p>
          <w:p w:rsidR="00D879A7" w:rsidRPr="00E60E52" w:rsidRDefault="00D879A7" w:rsidP="009A65DF">
            <w:pPr>
              <w:spacing w:line="360" w:lineRule="auto"/>
              <w:jc w:val="both"/>
            </w:pPr>
            <w:r>
              <w:t>-instalacja kanalizacji opadowej zlokalizowana w działce 274</w:t>
            </w:r>
          </w:p>
          <w:p w:rsidR="009B11C5" w:rsidRPr="00E60E52" w:rsidRDefault="009B11C5" w:rsidP="00F028DF">
            <w:pPr>
              <w:spacing w:line="360" w:lineRule="auto"/>
              <w:jc w:val="both"/>
            </w:pPr>
            <w:r w:rsidRPr="00E60E52">
              <w:t>- instalacja elektryczna zasila</w:t>
            </w:r>
            <w:r w:rsidR="00202E92">
              <w:t>na z stacji transformato</w:t>
            </w:r>
            <w:r w:rsidR="00B673C2">
              <w:t xml:space="preserve">rowej nr SN/Nn KRP32106 </w:t>
            </w:r>
          </w:p>
          <w:p w:rsidR="00B75B33" w:rsidRPr="00E601B7" w:rsidRDefault="00B75B33" w:rsidP="00E60E52">
            <w:pPr>
              <w:spacing w:line="360" w:lineRule="auto"/>
              <w:jc w:val="both"/>
            </w:pPr>
            <w:r w:rsidRPr="00E60E52">
              <w:t>- instalacja gazociągowa za</w:t>
            </w:r>
            <w:r w:rsidR="00352C11">
              <w:t>silana z siec</w:t>
            </w:r>
            <w:r w:rsidR="002E1E3C">
              <w:t xml:space="preserve">i </w:t>
            </w:r>
            <w:r w:rsidR="00B673C2">
              <w:t xml:space="preserve">zlokalizowanej działce nr </w:t>
            </w:r>
            <w:r w:rsidR="00D879A7">
              <w:t>204/9</w:t>
            </w:r>
          </w:p>
        </w:tc>
      </w:tr>
      <w:tr w:rsidR="00BE6465" w:rsidRPr="00E354A7" w:rsidTr="00E75BA0">
        <w:tc>
          <w:tcPr>
            <w:tcW w:w="2660" w:type="dxa"/>
            <w:vMerge/>
          </w:tcPr>
          <w:p w:rsidR="00BE6465" w:rsidRPr="00E601B7" w:rsidRDefault="00BE6465" w:rsidP="009A65DF">
            <w:pPr>
              <w:spacing w:line="360" w:lineRule="auto"/>
              <w:jc w:val="both"/>
              <w:rPr>
                <w:b/>
                <w:highlight w:val="yellow"/>
              </w:rPr>
            </w:pPr>
          </w:p>
        </w:tc>
        <w:tc>
          <w:tcPr>
            <w:tcW w:w="2268" w:type="dxa"/>
          </w:tcPr>
          <w:p w:rsidR="00BE6465" w:rsidRPr="00E601B7" w:rsidRDefault="00BE6465" w:rsidP="009A65DF">
            <w:pPr>
              <w:spacing w:line="360" w:lineRule="auto"/>
            </w:pPr>
            <w:r w:rsidRPr="00E601B7">
              <w:t>Dostęp do drogi publicznej</w:t>
            </w:r>
          </w:p>
        </w:tc>
        <w:tc>
          <w:tcPr>
            <w:tcW w:w="4282" w:type="dxa"/>
          </w:tcPr>
          <w:p w:rsidR="00F703C9" w:rsidRPr="00E601B7" w:rsidRDefault="0094407A" w:rsidP="008568B4">
            <w:pPr>
              <w:spacing w:line="360" w:lineRule="auto"/>
              <w:jc w:val="both"/>
            </w:pPr>
            <w:r w:rsidRPr="00E601B7">
              <w:t>Dostęp do drogi publicznej odbywał się będzie poprzez projektowan</w:t>
            </w:r>
            <w:r w:rsidR="00B75B33" w:rsidRPr="00E601B7">
              <w:t xml:space="preserve">ą drogę </w:t>
            </w:r>
            <w:r w:rsidR="00202E92">
              <w:t>wew</w:t>
            </w:r>
            <w:r w:rsidR="00D10450">
              <w:t>nętrzną z działk</w:t>
            </w:r>
            <w:r w:rsidR="00D879A7">
              <w:t>i nr 204/9</w:t>
            </w:r>
            <w:r w:rsidR="008568B4">
              <w:t xml:space="preserve"> po wy</w:t>
            </w:r>
            <w:r w:rsidR="008568B4" w:rsidRPr="00150C72">
              <w:t>budow</w:t>
            </w:r>
            <w:r w:rsidR="008568B4">
              <w:t>aniu</w:t>
            </w:r>
            <w:r w:rsidR="00352C11">
              <w:t xml:space="preserve">  zjazdu </w:t>
            </w:r>
            <w:r w:rsidR="00D10450">
              <w:t xml:space="preserve"> i wyjazdu </w:t>
            </w:r>
            <w:r w:rsidR="00352C11">
              <w:t xml:space="preserve"> z działki nr </w:t>
            </w:r>
            <w:r w:rsidR="00D879A7">
              <w:t xml:space="preserve">278/1 </w:t>
            </w:r>
          </w:p>
        </w:tc>
      </w:tr>
      <w:tr w:rsidR="00C82C75" w:rsidRPr="00F028DF" w:rsidTr="00064F14">
        <w:tc>
          <w:tcPr>
            <w:tcW w:w="2660" w:type="dxa"/>
          </w:tcPr>
          <w:p w:rsidR="00C82C75" w:rsidRPr="00E601B7" w:rsidRDefault="00BE6465" w:rsidP="009A65DF">
            <w:pPr>
              <w:spacing w:line="360" w:lineRule="auto"/>
              <w:jc w:val="both"/>
              <w:rPr>
                <w:b/>
              </w:rPr>
            </w:pPr>
            <w:r w:rsidRPr="00E601B7">
              <w:t xml:space="preserve">Określenie usytuowania lokalu mieszkalnego w </w:t>
            </w:r>
            <w:r w:rsidRPr="00E601B7">
              <w:lastRenderedPageBreak/>
              <w:t>budynku, jeśli przedsięwzięcie dotyczy lokali mieszkalnych</w:t>
            </w:r>
          </w:p>
        </w:tc>
        <w:tc>
          <w:tcPr>
            <w:tcW w:w="6550" w:type="dxa"/>
            <w:gridSpan w:val="2"/>
          </w:tcPr>
          <w:p w:rsidR="00C82C75" w:rsidRPr="007F1DEC" w:rsidRDefault="009C133A" w:rsidP="009A65DF">
            <w:pPr>
              <w:spacing w:line="360" w:lineRule="auto"/>
              <w:jc w:val="both"/>
            </w:pPr>
            <w:r>
              <w:lastRenderedPageBreak/>
              <w:t>Załącznik nr 5</w:t>
            </w:r>
          </w:p>
        </w:tc>
      </w:tr>
      <w:tr w:rsidR="00C82C75" w:rsidRPr="00F028DF" w:rsidTr="00064F14">
        <w:tc>
          <w:tcPr>
            <w:tcW w:w="2660" w:type="dxa"/>
          </w:tcPr>
          <w:p w:rsidR="00C82C75" w:rsidRPr="00E601B7" w:rsidRDefault="00BE6465" w:rsidP="009A65DF">
            <w:pPr>
              <w:spacing w:line="360" w:lineRule="auto"/>
              <w:jc w:val="both"/>
              <w:rPr>
                <w:b/>
              </w:rPr>
            </w:pPr>
            <w:r w:rsidRPr="00E601B7">
              <w:t>Określenie powierzchni i układu pomieszczeń oraz zakresu i standardu prac wykończeniowych do których wykonania zobowiązuje się deweloper</w:t>
            </w:r>
          </w:p>
        </w:tc>
        <w:tc>
          <w:tcPr>
            <w:tcW w:w="6550" w:type="dxa"/>
            <w:gridSpan w:val="2"/>
          </w:tcPr>
          <w:p w:rsidR="00C82C75" w:rsidRPr="00E601B7" w:rsidRDefault="00F703C9" w:rsidP="009A65DF">
            <w:pPr>
              <w:spacing w:line="360" w:lineRule="auto"/>
              <w:jc w:val="both"/>
            </w:pPr>
            <w:r w:rsidRPr="00E601B7">
              <w:t xml:space="preserve">Wg Załącznika nr </w:t>
            </w:r>
            <w:r w:rsidR="009C133A">
              <w:t>5</w:t>
            </w:r>
            <w:r w:rsidRPr="00E601B7">
              <w:t xml:space="preserve"> stanowiącego kartę </w:t>
            </w:r>
            <w:r w:rsidR="00202E92">
              <w:t>mieszkania</w:t>
            </w:r>
            <w:r w:rsidRPr="00E601B7">
              <w:t xml:space="preserve"> z określeniem powierzchni, układu pomieszczeń. </w:t>
            </w:r>
          </w:p>
          <w:p w:rsidR="00F703C9" w:rsidRPr="00E601B7" w:rsidRDefault="00F703C9" w:rsidP="007F1DEC">
            <w:pPr>
              <w:spacing w:line="360" w:lineRule="auto"/>
              <w:jc w:val="both"/>
            </w:pPr>
            <w:r w:rsidRPr="00E601B7">
              <w:t xml:space="preserve">Wg Załącznika nr </w:t>
            </w:r>
            <w:r w:rsidR="009C133A">
              <w:t>6</w:t>
            </w:r>
            <w:r w:rsidRPr="00E601B7">
              <w:t xml:space="preserve"> określającego standard prac wykończeniowych w</w:t>
            </w:r>
            <w:r w:rsidR="006D1DAE">
              <w:t xml:space="preserve"> </w:t>
            </w:r>
            <w:r w:rsidR="00202E92">
              <w:t>mieszkaniu</w:t>
            </w:r>
            <w:r w:rsidR="006E50AC" w:rsidRPr="00E601B7">
              <w:t>,</w:t>
            </w:r>
            <w:r w:rsidRPr="00E601B7">
              <w:t xml:space="preserve"> do których wykonania zobowiązuje się deweloper. </w:t>
            </w:r>
          </w:p>
        </w:tc>
      </w:tr>
    </w:tbl>
    <w:p w:rsidR="00E62428" w:rsidRPr="00F028DF" w:rsidRDefault="00E62428" w:rsidP="009A65DF">
      <w:pPr>
        <w:spacing w:line="360" w:lineRule="auto"/>
        <w:rPr>
          <w:b/>
          <w:sz w:val="22"/>
          <w:szCs w:val="22"/>
        </w:rPr>
      </w:pPr>
    </w:p>
    <w:p w:rsidR="00C82C75" w:rsidRPr="00F028DF" w:rsidRDefault="00C82C75" w:rsidP="009A65DF">
      <w:pPr>
        <w:spacing w:line="360" w:lineRule="auto"/>
        <w:rPr>
          <w:b/>
          <w:sz w:val="22"/>
          <w:szCs w:val="22"/>
        </w:rPr>
      </w:pPr>
    </w:p>
    <w:p w:rsidR="00C82C75" w:rsidRPr="00F028DF" w:rsidRDefault="00C82C75" w:rsidP="009A65DF">
      <w:pPr>
        <w:spacing w:line="360" w:lineRule="auto"/>
        <w:jc w:val="right"/>
        <w:rPr>
          <w:b/>
          <w:sz w:val="22"/>
          <w:szCs w:val="22"/>
        </w:rPr>
      </w:pPr>
      <w:r w:rsidRPr="00F028DF">
        <w:rPr>
          <w:b/>
          <w:sz w:val="22"/>
          <w:szCs w:val="22"/>
        </w:rPr>
        <w:t xml:space="preserve">Podpis dewelopera albo osoby uprawnionej do </w:t>
      </w:r>
    </w:p>
    <w:p w:rsidR="00C82C75" w:rsidRPr="00F028DF" w:rsidRDefault="00C82C75" w:rsidP="009A65DF">
      <w:pPr>
        <w:spacing w:line="360" w:lineRule="auto"/>
        <w:jc w:val="right"/>
        <w:rPr>
          <w:b/>
          <w:sz w:val="22"/>
          <w:szCs w:val="22"/>
        </w:rPr>
      </w:pPr>
      <w:r w:rsidRPr="00F028DF">
        <w:rPr>
          <w:b/>
          <w:sz w:val="22"/>
          <w:szCs w:val="22"/>
        </w:rPr>
        <w:t>jego reprezentacji oraz pieczęć firmowa</w:t>
      </w:r>
    </w:p>
    <w:p w:rsidR="00C82C75" w:rsidRPr="00F028DF" w:rsidRDefault="00C82C75" w:rsidP="009A65DF">
      <w:pPr>
        <w:spacing w:line="360" w:lineRule="auto"/>
        <w:jc w:val="right"/>
        <w:rPr>
          <w:b/>
          <w:sz w:val="22"/>
          <w:szCs w:val="22"/>
        </w:rPr>
      </w:pPr>
    </w:p>
    <w:p w:rsidR="00C82C75" w:rsidRPr="00F028DF" w:rsidRDefault="00C82C75" w:rsidP="009A65DF">
      <w:pPr>
        <w:spacing w:line="360" w:lineRule="auto"/>
        <w:jc w:val="right"/>
        <w:rPr>
          <w:b/>
          <w:sz w:val="22"/>
          <w:szCs w:val="22"/>
        </w:rPr>
      </w:pPr>
    </w:p>
    <w:p w:rsidR="00C82C75" w:rsidRPr="00F028DF" w:rsidRDefault="00C82C75" w:rsidP="009A65DF">
      <w:pPr>
        <w:spacing w:line="360" w:lineRule="auto"/>
        <w:jc w:val="right"/>
        <w:rPr>
          <w:b/>
          <w:sz w:val="22"/>
          <w:szCs w:val="22"/>
        </w:rPr>
      </w:pPr>
      <w:r w:rsidRPr="00F028DF">
        <w:rPr>
          <w:b/>
          <w:sz w:val="22"/>
          <w:szCs w:val="22"/>
        </w:rPr>
        <w:t xml:space="preserve"> ……………………………………….</w:t>
      </w:r>
    </w:p>
    <w:p w:rsidR="00E601B7" w:rsidRDefault="00E601B7">
      <w:pPr>
        <w:spacing w:after="200" w:line="276" w:lineRule="auto"/>
        <w:rPr>
          <w:b/>
          <w:bCs/>
          <w:kern w:val="32"/>
          <w:sz w:val="28"/>
          <w:szCs w:val="32"/>
        </w:rPr>
      </w:pPr>
      <w:r>
        <w:rPr>
          <w:sz w:val="28"/>
        </w:rPr>
        <w:br w:type="page"/>
      </w:r>
    </w:p>
    <w:p w:rsidR="00E601B7" w:rsidRDefault="00E601B7" w:rsidP="00E75BA0">
      <w:pPr>
        <w:pStyle w:val="Nagwek1"/>
        <w:rPr>
          <w:rFonts w:ascii="Times New Roman" w:hAnsi="Times New Roman" w:cs="Times New Roman"/>
          <w:sz w:val="28"/>
        </w:rPr>
      </w:pPr>
    </w:p>
    <w:p w:rsidR="00BE6465" w:rsidRDefault="0018055D" w:rsidP="00E75BA0">
      <w:pPr>
        <w:pStyle w:val="Nagwek1"/>
        <w:rPr>
          <w:rFonts w:ascii="Times New Roman" w:hAnsi="Times New Roman" w:cs="Times New Roman"/>
          <w:sz w:val="28"/>
        </w:rPr>
      </w:pPr>
      <w:bookmarkStart w:id="8" w:name="_Toc337026258"/>
      <w:r w:rsidRPr="00B75B33">
        <w:rPr>
          <w:rFonts w:ascii="Times New Roman" w:hAnsi="Times New Roman" w:cs="Times New Roman"/>
          <w:sz w:val="28"/>
        </w:rPr>
        <w:t>Załączniki</w:t>
      </w:r>
      <w:bookmarkEnd w:id="8"/>
    </w:p>
    <w:p w:rsidR="00E601B7" w:rsidRPr="00E601B7" w:rsidRDefault="00E601B7" w:rsidP="00E601B7"/>
    <w:p w:rsidR="00F028DF" w:rsidRPr="000256BD" w:rsidRDefault="000F6367" w:rsidP="000256BD">
      <w:pPr>
        <w:pStyle w:val="Akapitzlist"/>
        <w:numPr>
          <w:ilvl w:val="0"/>
          <w:numId w:val="35"/>
        </w:numPr>
        <w:spacing w:line="360" w:lineRule="auto"/>
        <w:rPr>
          <w:rFonts w:ascii="Times New Roman" w:hAnsi="Times New Roman"/>
          <w:sz w:val="22"/>
        </w:rPr>
      </w:pPr>
      <w:r w:rsidRPr="00194D24">
        <w:rPr>
          <w:rFonts w:ascii="Times New Roman" w:hAnsi="Times New Roman"/>
          <w:sz w:val="22"/>
        </w:rPr>
        <w:t xml:space="preserve">Wzór umowy </w:t>
      </w:r>
      <w:r w:rsidR="00153722">
        <w:rPr>
          <w:rFonts w:ascii="Times New Roman" w:hAnsi="Times New Roman"/>
          <w:sz w:val="22"/>
        </w:rPr>
        <w:t>deweloperskiej</w:t>
      </w:r>
      <w:r w:rsidR="00205F9B">
        <w:rPr>
          <w:rFonts w:ascii="Times New Roman" w:hAnsi="Times New Roman"/>
          <w:sz w:val="22"/>
        </w:rPr>
        <w:t>.</w:t>
      </w:r>
    </w:p>
    <w:p w:rsidR="009A65DF" w:rsidRPr="00194D24" w:rsidRDefault="00F703C9" w:rsidP="009A65DF">
      <w:pPr>
        <w:pStyle w:val="Akapitzlist"/>
        <w:numPr>
          <w:ilvl w:val="0"/>
          <w:numId w:val="35"/>
        </w:numPr>
        <w:spacing w:line="360" w:lineRule="auto"/>
        <w:rPr>
          <w:rFonts w:ascii="Times New Roman" w:hAnsi="Times New Roman"/>
          <w:sz w:val="22"/>
        </w:rPr>
      </w:pPr>
      <w:r w:rsidRPr="00194D24">
        <w:rPr>
          <w:rFonts w:ascii="Times New Roman" w:hAnsi="Times New Roman"/>
          <w:sz w:val="22"/>
        </w:rPr>
        <w:t>Harmonogram przedsięwzięcia deweloperskiego w etapach</w:t>
      </w:r>
      <w:r w:rsidR="00620F03" w:rsidRPr="00194D24">
        <w:rPr>
          <w:rFonts w:ascii="Times New Roman" w:hAnsi="Times New Roman"/>
          <w:sz w:val="22"/>
        </w:rPr>
        <w:t>.</w:t>
      </w:r>
    </w:p>
    <w:p w:rsidR="00A11BB4" w:rsidRPr="00B75B33" w:rsidRDefault="009A65DF" w:rsidP="00A11BB4">
      <w:pPr>
        <w:pStyle w:val="Akapitzlist"/>
        <w:numPr>
          <w:ilvl w:val="0"/>
          <w:numId w:val="35"/>
        </w:numPr>
        <w:spacing w:line="360" w:lineRule="auto"/>
        <w:rPr>
          <w:rFonts w:ascii="Times New Roman" w:hAnsi="Times New Roman"/>
          <w:sz w:val="22"/>
        </w:rPr>
      </w:pPr>
      <w:r w:rsidRPr="00194D24">
        <w:rPr>
          <w:rFonts w:ascii="Times New Roman" w:hAnsi="Times New Roman"/>
          <w:sz w:val="22"/>
        </w:rPr>
        <w:t>Technologia wykonania</w:t>
      </w:r>
      <w:r w:rsidR="00205F9B">
        <w:rPr>
          <w:rFonts w:ascii="Times New Roman" w:hAnsi="Times New Roman"/>
          <w:sz w:val="22"/>
        </w:rPr>
        <w:t>.</w:t>
      </w:r>
      <w:r w:rsidR="00A11BB4" w:rsidRPr="00A11BB4">
        <w:rPr>
          <w:rFonts w:ascii="Times New Roman" w:hAnsi="Times New Roman"/>
          <w:sz w:val="22"/>
        </w:rPr>
        <w:t xml:space="preserve"> </w:t>
      </w:r>
      <w:r w:rsidR="00A11BB4" w:rsidRPr="00B75B33">
        <w:rPr>
          <w:rFonts w:ascii="Times New Roman" w:hAnsi="Times New Roman"/>
          <w:sz w:val="22"/>
        </w:rPr>
        <w:t>Karta domu jednorodzinnego z określeniem jego p</w:t>
      </w:r>
      <w:r w:rsidR="00A11BB4">
        <w:rPr>
          <w:rFonts w:ascii="Times New Roman" w:hAnsi="Times New Roman"/>
          <w:sz w:val="22"/>
        </w:rPr>
        <w:t>owierzchni, układu pomieszczeń.</w:t>
      </w:r>
    </w:p>
    <w:p w:rsidR="00A11BB4" w:rsidRPr="00A11BB4" w:rsidRDefault="00A11BB4" w:rsidP="00A11BB4">
      <w:pPr>
        <w:pStyle w:val="Akapitzlist"/>
        <w:numPr>
          <w:ilvl w:val="0"/>
          <w:numId w:val="35"/>
        </w:numPr>
        <w:spacing w:line="360" w:lineRule="auto"/>
        <w:rPr>
          <w:rFonts w:ascii="Times New Roman" w:hAnsi="Times New Roman"/>
          <w:sz w:val="22"/>
        </w:rPr>
      </w:pPr>
      <w:r w:rsidRPr="00B75B33">
        <w:rPr>
          <w:rFonts w:ascii="Times New Roman" w:hAnsi="Times New Roman"/>
          <w:sz w:val="22"/>
        </w:rPr>
        <w:t>Karta domu jednorodzinnego z określeniem jego p</w:t>
      </w:r>
      <w:r>
        <w:rPr>
          <w:rFonts w:ascii="Times New Roman" w:hAnsi="Times New Roman"/>
          <w:sz w:val="22"/>
        </w:rPr>
        <w:t>owierzchni, układu pomieszczeń</w:t>
      </w:r>
    </w:p>
    <w:p w:rsidR="009A65DF" w:rsidRPr="00A11BB4" w:rsidRDefault="00A11BB4" w:rsidP="00A11BB4">
      <w:pPr>
        <w:spacing w:line="360" w:lineRule="auto"/>
        <w:ind w:left="405"/>
        <w:rPr>
          <w:sz w:val="22"/>
        </w:rPr>
      </w:pPr>
      <w:r>
        <w:rPr>
          <w:sz w:val="22"/>
        </w:rPr>
        <w:t>5.</w:t>
      </w:r>
      <w:r w:rsidR="00620F03" w:rsidRPr="00A11BB4">
        <w:rPr>
          <w:sz w:val="22"/>
        </w:rPr>
        <w:t>Standard prac wykończeniowych w części wspólnej budynku i terenu wokół niego, stanowiącym część wspólną nieruchomości</w:t>
      </w:r>
      <w:r w:rsidR="00205F9B" w:rsidRPr="00A11BB4">
        <w:rPr>
          <w:sz w:val="22"/>
        </w:rPr>
        <w:t>.</w:t>
      </w:r>
    </w:p>
    <w:p w:rsidR="00BE6465" w:rsidRPr="00A11BB4" w:rsidRDefault="00E601B7" w:rsidP="00A11BB4">
      <w:pPr>
        <w:pStyle w:val="Akapitzlist"/>
        <w:numPr>
          <w:ilvl w:val="0"/>
          <w:numId w:val="42"/>
        </w:numPr>
        <w:spacing w:line="360" w:lineRule="auto"/>
        <w:rPr>
          <w:kern w:val="32"/>
          <w:sz w:val="22"/>
        </w:rPr>
      </w:pPr>
      <w:r w:rsidRPr="00A11BB4">
        <w:rPr>
          <w:sz w:val="22"/>
        </w:rPr>
        <w:t>S</w:t>
      </w:r>
      <w:r w:rsidR="00F028DF" w:rsidRPr="00A11BB4">
        <w:rPr>
          <w:sz w:val="22"/>
        </w:rPr>
        <w:t>tandard prac wykończeniowych w domu jednorodzinnym, do których wykonania zobowiązuje się deweloper.</w:t>
      </w:r>
      <w:r w:rsidR="00F028DF" w:rsidRPr="00B75B33">
        <w:t xml:space="preserve"> </w:t>
      </w:r>
      <w:r w:rsidR="00BE6465" w:rsidRPr="00A11BB4">
        <w:rPr>
          <w:sz w:val="22"/>
        </w:rPr>
        <w:br w:type="page"/>
      </w:r>
    </w:p>
    <w:p w:rsidR="003D006A" w:rsidRPr="00E354A7" w:rsidRDefault="003D006A" w:rsidP="009A65DF">
      <w:pPr>
        <w:pStyle w:val="Nagwek1"/>
        <w:spacing w:line="360" w:lineRule="auto"/>
        <w:jc w:val="center"/>
        <w:rPr>
          <w:rFonts w:ascii="Times New Roman" w:hAnsi="Times New Roman" w:cs="Times New Roman"/>
          <w:sz w:val="22"/>
          <w:szCs w:val="22"/>
          <w:highlight w:val="yellow"/>
        </w:rPr>
      </w:pPr>
    </w:p>
    <w:p w:rsidR="00C82C75" w:rsidRPr="00A50A91" w:rsidRDefault="003D006A" w:rsidP="009A65DF">
      <w:pPr>
        <w:pStyle w:val="Nagwek1"/>
        <w:spacing w:line="360" w:lineRule="auto"/>
        <w:jc w:val="center"/>
        <w:rPr>
          <w:rFonts w:ascii="Times New Roman" w:hAnsi="Times New Roman" w:cs="Times New Roman"/>
          <w:sz w:val="28"/>
          <w:szCs w:val="22"/>
        </w:rPr>
      </w:pPr>
      <w:bookmarkStart w:id="9" w:name="_Toc337026259"/>
      <w:r w:rsidRPr="00A50A91">
        <w:rPr>
          <w:rFonts w:ascii="Times New Roman" w:hAnsi="Times New Roman" w:cs="Times New Roman"/>
          <w:sz w:val="28"/>
          <w:szCs w:val="22"/>
        </w:rPr>
        <w:t>Dane adresowe Działu Sprzedaży</w:t>
      </w:r>
      <w:bookmarkEnd w:id="9"/>
    </w:p>
    <w:p w:rsidR="009A65DF" w:rsidRPr="00A50A91" w:rsidRDefault="009A65DF" w:rsidP="009A65DF">
      <w:pPr>
        <w:pStyle w:val="normalny0"/>
        <w:spacing w:line="360" w:lineRule="auto"/>
        <w:jc w:val="center"/>
        <w:rPr>
          <w:rFonts w:ascii="Times New Roman" w:hAnsi="Times New Roman"/>
        </w:rPr>
      </w:pPr>
    </w:p>
    <w:p w:rsidR="006B26CA" w:rsidRPr="00A50A91" w:rsidRDefault="006B26CA" w:rsidP="006B26CA">
      <w:pPr>
        <w:pStyle w:val="normalny0"/>
        <w:spacing w:line="360" w:lineRule="auto"/>
        <w:jc w:val="center"/>
        <w:rPr>
          <w:rFonts w:ascii="Times New Roman" w:hAnsi="Times New Roman"/>
        </w:rPr>
      </w:pPr>
      <w:r w:rsidRPr="00A50A91">
        <w:rPr>
          <w:rFonts w:ascii="Times New Roman" w:hAnsi="Times New Roman"/>
        </w:rPr>
        <w:t>Paweł Mleko PM-Development</w:t>
      </w:r>
    </w:p>
    <w:p w:rsidR="00A50A91" w:rsidRPr="00A50A91" w:rsidRDefault="007B33E5" w:rsidP="00A50A91">
      <w:pPr>
        <w:pStyle w:val="normalny0"/>
        <w:spacing w:line="360" w:lineRule="auto"/>
        <w:jc w:val="center"/>
        <w:rPr>
          <w:rFonts w:ascii="Times New Roman" w:hAnsi="Times New Roman"/>
        </w:rPr>
      </w:pPr>
      <w:r>
        <w:rPr>
          <w:rFonts w:ascii="Times New Roman" w:hAnsi="Times New Roman"/>
        </w:rPr>
        <w:t xml:space="preserve">ul. Słomiana 14/2 , 30-316 </w:t>
      </w:r>
      <w:r w:rsidR="00A50A91" w:rsidRPr="00A50A91">
        <w:rPr>
          <w:rFonts w:ascii="Times New Roman" w:hAnsi="Times New Roman"/>
        </w:rPr>
        <w:t xml:space="preserve"> Kraków</w:t>
      </w:r>
    </w:p>
    <w:p w:rsidR="00A50A91" w:rsidRPr="00A50A91" w:rsidRDefault="00A50A91" w:rsidP="009A65DF">
      <w:pPr>
        <w:pStyle w:val="normalny0"/>
        <w:spacing w:line="360" w:lineRule="auto"/>
        <w:jc w:val="center"/>
        <w:rPr>
          <w:rFonts w:ascii="Times New Roman" w:hAnsi="Times New Roman"/>
        </w:rPr>
      </w:pPr>
      <w:r w:rsidRPr="00A50A91">
        <w:rPr>
          <w:rFonts w:ascii="Times New Roman" w:hAnsi="Times New Roman"/>
        </w:rPr>
        <w:t>REGON: 357206038</w:t>
      </w:r>
    </w:p>
    <w:p w:rsidR="00A50A91" w:rsidRPr="00840D4B" w:rsidRDefault="00A50A91" w:rsidP="009A65DF">
      <w:pPr>
        <w:pStyle w:val="normalny0"/>
        <w:spacing w:line="360" w:lineRule="auto"/>
        <w:jc w:val="center"/>
        <w:rPr>
          <w:rFonts w:ascii="Times New Roman" w:hAnsi="Times New Roman"/>
          <w:lang w:val="en-US"/>
        </w:rPr>
      </w:pPr>
      <w:r w:rsidRPr="00840D4B">
        <w:rPr>
          <w:rFonts w:ascii="Times New Roman" w:hAnsi="Times New Roman"/>
          <w:lang w:val="en-US"/>
        </w:rPr>
        <w:t>NIP: 6831007858</w:t>
      </w:r>
    </w:p>
    <w:p w:rsidR="00A50A91" w:rsidRPr="00840D4B" w:rsidRDefault="009A65DF" w:rsidP="00A50A91">
      <w:pPr>
        <w:pStyle w:val="normalny0"/>
        <w:spacing w:line="360" w:lineRule="auto"/>
        <w:jc w:val="center"/>
        <w:rPr>
          <w:rFonts w:ascii="Times New Roman" w:hAnsi="Times New Roman"/>
          <w:lang w:val="en-US"/>
        </w:rPr>
      </w:pPr>
      <w:r w:rsidRPr="00A50A91">
        <w:rPr>
          <w:rFonts w:ascii="Times New Roman" w:hAnsi="Times New Roman"/>
          <w:lang w:val="en-US"/>
        </w:rPr>
        <w:t>Tel</w:t>
      </w:r>
      <w:r w:rsidR="00A50A91" w:rsidRPr="00A50A91">
        <w:rPr>
          <w:rFonts w:ascii="Times New Roman" w:hAnsi="Times New Roman"/>
          <w:lang w:val="en-US"/>
        </w:rPr>
        <w:t xml:space="preserve">. </w:t>
      </w:r>
      <w:r w:rsidR="00A50A91" w:rsidRPr="00840D4B">
        <w:rPr>
          <w:rFonts w:ascii="Times New Roman" w:hAnsi="Times New Roman"/>
          <w:lang w:val="en-US"/>
        </w:rPr>
        <w:t>601 920 871</w:t>
      </w:r>
    </w:p>
    <w:p w:rsidR="00A50A91" w:rsidRPr="00840D4B" w:rsidRDefault="009A65DF" w:rsidP="00A50A91">
      <w:pPr>
        <w:pStyle w:val="normalny0"/>
        <w:spacing w:line="360" w:lineRule="auto"/>
        <w:jc w:val="center"/>
        <w:rPr>
          <w:rFonts w:ascii="Times New Roman" w:hAnsi="Times New Roman"/>
          <w:lang w:val="en-US"/>
        </w:rPr>
      </w:pPr>
      <w:r w:rsidRPr="00A50A91">
        <w:rPr>
          <w:rFonts w:ascii="Times New Roman" w:hAnsi="Times New Roman"/>
          <w:lang w:val="en-US"/>
        </w:rPr>
        <w:t xml:space="preserve">Mail: </w:t>
      </w:r>
      <w:hyperlink r:id="rId14" w:history="1">
        <w:r w:rsidR="00A50A91" w:rsidRPr="00840D4B">
          <w:rPr>
            <w:rStyle w:val="Hipercze"/>
            <w:rFonts w:ascii="Times New Roman" w:hAnsi="Times New Roman"/>
            <w:lang w:val="en-US"/>
          </w:rPr>
          <w:t>biuro@pmdevelopment.pl</w:t>
        </w:r>
      </w:hyperlink>
    </w:p>
    <w:p w:rsidR="006B26CA" w:rsidRPr="00A50A91" w:rsidRDefault="00601540" w:rsidP="00A50A91">
      <w:pPr>
        <w:pStyle w:val="normalny0"/>
        <w:spacing w:line="360" w:lineRule="auto"/>
        <w:jc w:val="center"/>
        <w:rPr>
          <w:rFonts w:ascii="Times New Roman" w:hAnsi="Times New Roman"/>
        </w:rPr>
      </w:pPr>
      <w:hyperlink r:id="rId15" w:history="1">
        <w:r w:rsidR="00A50A91" w:rsidRPr="00A50A91">
          <w:rPr>
            <w:rStyle w:val="Hipercze"/>
          </w:rPr>
          <w:t>www.pmdevelopment.pl</w:t>
        </w:r>
      </w:hyperlink>
    </w:p>
    <w:p w:rsidR="006B26CA" w:rsidRPr="00E75BA0" w:rsidRDefault="006B26CA" w:rsidP="00A50A91">
      <w:pPr>
        <w:pStyle w:val="normalny0"/>
        <w:spacing w:line="360" w:lineRule="auto"/>
        <w:ind w:left="0"/>
        <w:rPr>
          <w:rFonts w:ascii="Times New Roman" w:hAnsi="Times New Roman"/>
        </w:rPr>
      </w:pPr>
    </w:p>
    <w:sectPr w:rsidR="006B26CA" w:rsidRPr="00E75BA0" w:rsidSect="008B71A4">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40" w:rsidRDefault="00601540" w:rsidP="00101E51">
      <w:r>
        <w:separator/>
      </w:r>
    </w:p>
  </w:endnote>
  <w:endnote w:type="continuationSeparator" w:id="0">
    <w:p w:rsidR="00601540" w:rsidRDefault="00601540" w:rsidP="0010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2F" w:rsidRDefault="00F2132F">
    <w:pPr>
      <w:pStyle w:val="Stopka"/>
    </w:pPr>
  </w:p>
  <w:p w:rsidR="00F2132F" w:rsidRPr="002C1882" w:rsidRDefault="00F2132F" w:rsidP="002A7CB9">
    <w:pPr>
      <w:jc w:val="right"/>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2F" w:rsidRPr="002C1882" w:rsidRDefault="00F2132F" w:rsidP="002A7CB9">
    <w:pPr>
      <w:jc w:val="right"/>
      <w:rPr>
        <w:rFonts w:ascii="Arial" w:hAnsi="Arial" w:cs="Arial"/>
        <w:sz w:val="20"/>
        <w:szCs w:val="20"/>
      </w:rPr>
    </w:pPr>
    <w:r>
      <w:t xml:space="preserve">                                                                                                                                                                  </w:t>
    </w:r>
    <w:r w:rsidRPr="002C1882">
      <w:rPr>
        <w:rFonts w:ascii="Arial" w:hAnsi="Arial" w:cs="Arial"/>
        <w:sz w:val="20"/>
        <w:szCs w:val="20"/>
      </w:rPr>
      <w:t xml:space="preserve">Strona </w:t>
    </w:r>
    <w:r w:rsidR="000D7675" w:rsidRPr="002C1882">
      <w:rPr>
        <w:rFonts w:ascii="Arial" w:hAnsi="Arial" w:cs="Arial"/>
        <w:sz w:val="20"/>
        <w:szCs w:val="20"/>
      </w:rPr>
      <w:fldChar w:fldCharType="begin"/>
    </w:r>
    <w:r w:rsidRPr="002C1882">
      <w:rPr>
        <w:rFonts w:ascii="Arial" w:hAnsi="Arial" w:cs="Arial"/>
        <w:sz w:val="20"/>
        <w:szCs w:val="20"/>
      </w:rPr>
      <w:instrText xml:space="preserve"> PAGE </w:instrText>
    </w:r>
    <w:r w:rsidR="000D7675" w:rsidRPr="002C1882">
      <w:rPr>
        <w:rFonts w:ascii="Arial" w:hAnsi="Arial" w:cs="Arial"/>
        <w:sz w:val="20"/>
        <w:szCs w:val="20"/>
      </w:rPr>
      <w:fldChar w:fldCharType="separate"/>
    </w:r>
    <w:r w:rsidR="00E20090">
      <w:rPr>
        <w:rFonts w:ascii="Arial" w:hAnsi="Arial" w:cs="Arial"/>
        <w:noProof/>
        <w:sz w:val="20"/>
        <w:szCs w:val="20"/>
      </w:rPr>
      <w:t>16</w:t>
    </w:r>
    <w:r w:rsidR="000D7675" w:rsidRPr="002C1882">
      <w:rPr>
        <w:rFonts w:ascii="Arial" w:hAnsi="Arial" w:cs="Arial"/>
        <w:sz w:val="20"/>
        <w:szCs w:val="20"/>
      </w:rPr>
      <w:fldChar w:fldCharType="end"/>
    </w:r>
    <w:r w:rsidRPr="002C1882">
      <w:rPr>
        <w:rFonts w:ascii="Arial" w:hAnsi="Arial" w:cs="Arial"/>
        <w:sz w:val="20"/>
        <w:szCs w:val="20"/>
      </w:rPr>
      <w:t xml:space="preserve"> z </w:t>
    </w:r>
    <w:r w:rsidR="000D7675" w:rsidRPr="002C1882">
      <w:rPr>
        <w:rFonts w:ascii="Arial" w:hAnsi="Arial" w:cs="Arial"/>
        <w:sz w:val="20"/>
        <w:szCs w:val="20"/>
      </w:rPr>
      <w:fldChar w:fldCharType="begin"/>
    </w:r>
    <w:r w:rsidRPr="002C1882">
      <w:rPr>
        <w:rFonts w:ascii="Arial" w:hAnsi="Arial" w:cs="Arial"/>
        <w:sz w:val="20"/>
        <w:szCs w:val="20"/>
      </w:rPr>
      <w:instrText xml:space="preserve"> NUMPAGES  </w:instrText>
    </w:r>
    <w:r w:rsidR="000D7675" w:rsidRPr="002C1882">
      <w:rPr>
        <w:rFonts w:ascii="Arial" w:hAnsi="Arial" w:cs="Arial"/>
        <w:sz w:val="20"/>
        <w:szCs w:val="20"/>
      </w:rPr>
      <w:fldChar w:fldCharType="separate"/>
    </w:r>
    <w:r w:rsidR="00E20090">
      <w:rPr>
        <w:rFonts w:ascii="Arial" w:hAnsi="Arial" w:cs="Arial"/>
        <w:noProof/>
        <w:sz w:val="20"/>
        <w:szCs w:val="20"/>
      </w:rPr>
      <w:t>17</w:t>
    </w:r>
    <w:r w:rsidR="000D7675" w:rsidRPr="002C188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40" w:rsidRDefault="00601540" w:rsidP="00101E51">
      <w:r>
        <w:separator/>
      </w:r>
    </w:p>
  </w:footnote>
  <w:footnote w:type="continuationSeparator" w:id="0">
    <w:p w:rsidR="00601540" w:rsidRDefault="00601540" w:rsidP="0010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2F" w:rsidRDefault="00F542BE" w:rsidP="00F542BE">
    <w:pPr>
      <w:pStyle w:val="Nagwek"/>
      <w:tabs>
        <w:tab w:val="clear" w:pos="4536"/>
        <w:tab w:val="clear" w:pos="9072"/>
        <w:tab w:val="left" w:pos="3987"/>
      </w:tabs>
      <w:jc w:val="center"/>
      <w:rPr>
        <w:noProof/>
      </w:rPr>
    </w:pPr>
    <w:r>
      <w:rPr>
        <w:noProof/>
      </w:rPr>
      <w:drawing>
        <wp:inline distT="0" distB="0" distL="0" distR="0">
          <wp:extent cx="5981700" cy="1182518"/>
          <wp:effectExtent l="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765" cy="1203091"/>
                  </a:xfrm>
                  <a:prstGeom prst="rect">
                    <a:avLst/>
                  </a:prstGeom>
                  <a:noFill/>
                  <a:ln>
                    <a:noFill/>
                  </a:ln>
                </pic:spPr>
              </pic:pic>
            </a:graphicData>
          </a:graphic>
        </wp:inline>
      </w:drawing>
    </w:r>
  </w:p>
  <w:p w:rsidR="00D1123E" w:rsidRDefault="00D1123E" w:rsidP="00DF73A9">
    <w:pPr>
      <w:pStyle w:val="Nagwek"/>
    </w:pPr>
  </w:p>
  <w:p w:rsidR="00DF73A9" w:rsidRDefault="00DF73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E6A2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EC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695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EE96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366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EE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8A0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EC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A69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03C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4037"/>
    <w:multiLevelType w:val="hybridMultilevel"/>
    <w:tmpl w:val="64465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0E7736"/>
    <w:multiLevelType w:val="hybridMultilevel"/>
    <w:tmpl w:val="CABAD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B91ECF"/>
    <w:multiLevelType w:val="multilevel"/>
    <w:tmpl w:val="660076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95C16"/>
    <w:multiLevelType w:val="hybridMultilevel"/>
    <w:tmpl w:val="C17431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204A6"/>
    <w:multiLevelType w:val="hybridMultilevel"/>
    <w:tmpl w:val="8F94C8E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10622244"/>
    <w:multiLevelType w:val="hybridMultilevel"/>
    <w:tmpl w:val="7AE062EC"/>
    <w:lvl w:ilvl="0" w:tplc="ADB69E8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9244CE"/>
    <w:multiLevelType w:val="hybridMultilevel"/>
    <w:tmpl w:val="B156E5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8201B"/>
    <w:multiLevelType w:val="multilevel"/>
    <w:tmpl w:val="57C472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8" w15:restartNumberingAfterBreak="0">
    <w:nsid w:val="13B66299"/>
    <w:multiLevelType w:val="hybridMultilevel"/>
    <w:tmpl w:val="95A09BB2"/>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9" w15:restartNumberingAfterBreak="0">
    <w:nsid w:val="14E25AFB"/>
    <w:multiLevelType w:val="hybridMultilevel"/>
    <w:tmpl w:val="6C124BBE"/>
    <w:lvl w:ilvl="0" w:tplc="95960C7C">
      <w:start w:val="6"/>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15DF52C4"/>
    <w:multiLevelType w:val="multilevel"/>
    <w:tmpl w:val="CB3E86A8"/>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16172C51"/>
    <w:multiLevelType w:val="hybridMultilevel"/>
    <w:tmpl w:val="BCC2D6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13797B"/>
    <w:multiLevelType w:val="hybridMultilevel"/>
    <w:tmpl w:val="7F1A67A4"/>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96911E0"/>
    <w:multiLevelType w:val="hybridMultilevel"/>
    <w:tmpl w:val="442EF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70A9C"/>
    <w:multiLevelType w:val="hybridMultilevel"/>
    <w:tmpl w:val="660076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400D4D"/>
    <w:multiLevelType w:val="hybridMultilevel"/>
    <w:tmpl w:val="7722C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055A9E"/>
    <w:multiLevelType w:val="hybridMultilevel"/>
    <w:tmpl w:val="34B6966C"/>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89D2065"/>
    <w:multiLevelType w:val="hybridMultilevel"/>
    <w:tmpl w:val="E3E0A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E5042F"/>
    <w:multiLevelType w:val="hybridMultilevel"/>
    <w:tmpl w:val="7722C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04387F"/>
    <w:multiLevelType w:val="hybridMultilevel"/>
    <w:tmpl w:val="646C08A2"/>
    <w:lvl w:ilvl="0" w:tplc="04090005">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0" w15:restartNumberingAfterBreak="0">
    <w:nsid w:val="4A4A3D51"/>
    <w:multiLevelType w:val="hybridMultilevel"/>
    <w:tmpl w:val="23221A8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B030614"/>
    <w:multiLevelType w:val="hybridMultilevel"/>
    <w:tmpl w:val="12408F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449CB"/>
    <w:multiLevelType w:val="hybridMultilevel"/>
    <w:tmpl w:val="652494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8F570A5"/>
    <w:multiLevelType w:val="hybridMultilevel"/>
    <w:tmpl w:val="45400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5F6300"/>
    <w:multiLevelType w:val="multilevel"/>
    <w:tmpl w:val="D83CF000"/>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5EBC15D8"/>
    <w:multiLevelType w:val="hybridMultilevel"/>
    <w:tmpl w:val="85105032"/>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6C73F78"/>
    <w:multiLevelType w:val="hybridMultilevel"/>
    <w:tmpl w:val="65B2B4D2"/>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DEE0266"/>
    <w:multiLevelType w:val="hybridMultilevel"/>
    <w:tmpl w:val="4BD217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33B95"/>
    <w:multiLevelType w:val="multilevel"/>
    <w:tmpl w:val="C6820E0C"/>
    <w:lvl w:ilvl="0">
      <w:start w:val="1"/>
      <w:numFmt w:val="decimal"/>
      <w:lvlText w:val="%1."/>
      <w:lvlJc w:val="left"/>
      <w:pPr>
        <w:tabs>
          <w:tab w:val="num" w:pos="720"/>
        </w:tabs>
        <w:ind w:left="720" w:hanging="360"/>
      </w:pPr>
    </w:lvl>
    <w:lvl w:ilvl="1">
      <w:start w:val="6"/>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15:restartNumberingAfterBreak="0">
    <w:nsid w:val="726D044E"/>
    <w:multiLevelType w:val="hybridMultilevel"/>
    <w:tmpl w:val="A6B87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192AF5"/>
    <w:multiLevelType w:val="multilevel"/>
    <w:tmpl w:val="08DAD304"/>
    <w:lvl w:ilvl="0">
      <w:start w:val="1"/>
      <w:numFmt w:val="decimal"/>
      <w:pStyle w:val="kat1"/>
      <w:lvlText w:val="%1."/>
      <w:lvlJc w:val="left"/>
      <w:pPr>
        <w:ind w:left="360" w:hanging="360"/>
      </w:pPr>
      <w:rPr>
        <w:rFonts w:cs="Times New Roman"/>
      </w:rPr>
    </w:lvl>
    <w:lvl w:ilvl="1">
      <w:start w:val="1"/>
      <w:numFmt w:val="decimal"/>
      <w:pStyle w:val="kat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F28773B"/>
    <w:multiLevelType w:val="hybridMultilevel"/>
    <w:tmpl w:val="CCC074AA"/>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7"/>
  </w:num>
  <w:num w:numId="2">
    <w:abstractNumId w:val="34"/>
  </w:num>
  <w:num w:numId="3">
    <w:abstractNumId w:val="38"/>
  </w:num>
  <w:num w:numId="4">
    <w:abstractNumId w:val="2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41"/>
  </w:num>
  <w:num w:numId="16">
    <w:abstractNumId w:val="32"/>
  </w:num>
  <w:num w:numId="17">
    <w:abstractNumId w:val="30"/>
  </w:num>
  <w:num w:numId="18">
    <w:abstractNumId w:val="35"/>
  </w:num>
  <w:num w:numId="19">
    <w:abstractNumId w:val="36"/>
  </w:num>
  <w:num w:numId="20">
    <w:abstractNumId w:val="22"/>
  </w:num>
  <w:num w:numId="21">
    <w:abstractNumId w:val="26"/>
  </w:num>
  <w:num w:numId="22">
    <w:abstractNumId w:val="37"/>
  </w:num>
  <w:num w:numId="23">
    <w:abstractNumId w:val="29"/>
  </w:num>
  <w:num w:numId="24">
    <w:abstractNumId w:val="40"/>
  </w:num>
  <w:num w:numId="25">
    <w:abstractNumId w:val="24"/>
  </w:num>
  <w:num w:numId="26">
    <w:abstractNumId w:val="12"/>
  </w:num>
  <w:num w:numId="27">
    <w:abstractNumId w:val="21"/>
  </w:num>
  <w:num w:numId="28">
    <w:abstractNumId w:val="18"/>
  </w:num>
  <w:num w:numId="29">
    <w:abstractNumId w:val="15"/>
  </w:num>
  <w:num w:numId="30">
    <w:abstractNumId w:val="10"/>
  </w:num>
  <w:num w:numId="31">
    <w:abstractNumId w:val="31"/>
  </w:num>
  <w:num w:numId="32">
    <w:abstractNumId w:val="16"/>
  </w:num>
  <w:num w:numId="33">
    <w:abstractNumId w:val="27"/>
  </w:num>
  <w:num w:numId="34">
    <w:abstractNumId w:val="11"/>
  </w:num>
  <w:num w:numId="35">
    <w:abstractNumId w:val="14"/>
  </w:num>
  <w:num w:numId="36">
    <w:abstractNumId w:val="13"/>
  </w:num>
  <w:num w:numId="37">
    <w:abstractNumId w:val="28"/>
  </w:num>
  <w:num w:numId="38">
    <w:abstractNumId w:val="25"/>
  </w:num>
  <w:num w:numId="39">
    <w:abstractNumId w:val="39"/>
  </w:num>
  <w:num w:numId="40">
    <w:abstractNumId w:val="33"/>
  </w:num>
  <w:num w:numId="41">
    <w:abstractNumId w:val="2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1E51"/>
    <w:rsid w:val="000120F2"/>
    <w:rsid w:val="00013BDA"/>
    <w:rsid w:val="00016046"/>
    <w:rsid w:val="000209D4"/>
    <w:rsid w:val="00020E19"/>
    <w:rsid w:val="00021D4C"/>
    <w:rsid w:val="0002468E"/>
    <w:rsid w:val="00024DFA"/>
    <w:rsid w:val="000256BD"/>
    <w:rsid w:val="0003166D"/>
    <w:rsid w:val="00031808"/>
    <w:rsid w:val="00037CA8"/>
    <w:rsid w:val="00045577"/>
    <w:rsid w:val="000546B0"/>
    <w:rsid w:val="00056A2F"/>
    <w:rsid w:val="00062609"/>
    <w:rsid w:val="00064F14"/>
    <w:rsid w:val="00066990"/>
    <w:rsid w:val="000764EE"/>
    <w:rsid w:val="0009140F"/>
    <w:rsid w:val="00095BAF"/>
    <w:rsid w:val="000A3555"/>
    <w:rsid w:val="000A5037"/>
    <w:rsid w:val="000A787E"/>
    <w:rsid w:val="000B631F"/>
    <w:rsid w:val="000C0778"/>
    <w:rsid w:val="000C473A"/>
    <w:rsid w:val="000C4793"/>
    <w:rsid w:val="000C5661"/>
    <w:rsid w:val="000C71E2"/>
    <w:rsid w:val="000D3AD8"/>
    <w:rsid w:val="000D7675"/>
    <w:rsid w:val="000E641B"/>
    <w:rsid w:val="000E7212"/>
    <w:rsid w:val="000F21E2"/>
    <w:rsid w:val="000F3E22"/>
    <w:rsid w:val="000F52CB"/>
    <w:rsid w:val="000F6367"/>
    <w:rsid w:val="000F765F"/>
    <w:rsid w:val="00101E51"/>
    <w:rsid w:val="00102335"/>
    <w:rsid w:val="0010460D"/>
    <w:rsid w:val="0011191C"/>
    <w:rsid w:val="001278DE"/>
    <w:rsid w:val="00140158"/>
    <w:rsid w:val="00141CCB"/>
    <w:rsid w:val="00143537"/>
    <w:rsid w:val="00150C72"/>
    <w:rsid w:val="00151F0F"/>
    <w:rsid w:val="00153722"/>
    <w:rsid w:val="001607A6"/>
    <w:rsid w:val="0017479F"/>
    <w:rsid w:val="001749FD"/>
    <w:rsid w:val="00175C35"/>
    <w:rsid w:val="00177F6F"/>
    <w:rsid w:val="0018055D"/>
    <w:rsid w:val="001812D2"/>
    <w:rsid w:val="001828BE"/>
    <w:rsid w:val="00190525"/>
    <w:rsid w:val="00194D24"/>
    <w:rsid w:val="001962A1"/>
    <w:rsid w:val="00196CCE"/>
    <w:rsid w:val="001A2BDD"/>
    <w:rsid w:val="001A3E0C"/>
    <w:rsid w:val="001A6F8A"/>
    <w:rsid w:val="001A76DA"/>
    <w:rsid w:val="001B7D9D"/>
    <w:rsid w:val="001C2FEB"/>
    <w:rsid w:val="001C34C8"/>
    <w:rsid w:val="001C464F"/>
    <w:rsid w:val="001D712F"/>
    <w:rsid w:val="001E4708"/>
    <w:rsid w:val="001E6391"/>
    <w:rsid w:val="00202E92"/>
    <w:rsid w:val="00204E5C"/>
    <w:rsid w:val="00205EB2"/>
    <w:rsid w:val="00205F9B"/>
    <w:rsid w:val="00207CF6"/>
    <w:rsid w:val="0021241C"/>
    <w:rsid w:val="00212B5E"/>
    <w:rsid w:val="002138F8"/>
    <w:rsid w:val="00215DAC"/>
    <w:rsid w:val="002264D5"/>
    <w:rsid w:val="00237626"/>
    <w:rsid w:val="002476D8"/>
    <w:rsid w:val="00251875"/>
    <w:rsid w:val="002617FE"/>
    <w:rsid w:val="002740CE"/>
    <w:rsid w:val="00276EC9"/>
    <w:rsid w:val="00292CDA"/>
    <w:rsid w:val="002931C3"/>
    <w:rsid w:val="00294DB7"/>
    <w:rsid w:val="002A402C"/>
    <w:rsid w:val="002A414B"/>
    <w:rsid w:val="002A443A"/>
    <w:rsid w:val="002A7CB9"/>
    <w:rsid w:val="002B0A11"/>
    <w:rsid w:val="002B2794"/>
    <w:rsid w:val="002B2EE6"/>
    <w:rsid w:val="002B620F"/>
    <w:rsid w:val="002B66A0"/>
    <w:rsid w:val="002C0617"/>
    <w:rsid w:val="002D6530"/>
    <w:rsid w:val="002E1B48"/>
    <w:rsid w:val="002E1D72"/>
    <w:rsid w:val="002E1E3C"/>
    <w:rsid w:val="00302AB9"/>
    <w:rsid w:val="00305442"/>
    <w:rsid w:val="00305CB7"/>
    <w:rsid w:val="00311BD8"/>
    <w:rsid w:val="00311E9A"/>
    <w:rsid w:val="00325D41"/>
    <w:rsid w:val="00330EB4"/>
    <w:rsid w:val="00335343"/>
    <w:rsid w:val="00343DBE"/>
    <w:rsid w:val="00344EEB"/>
    <w:rsid w:val="0034733E"/>
    <w:rsid w:val="0035198B"/>
    <w:rsid w:val="003523DA"/>
    <w:rsid w:val="00352C11"/>
    <w:rsid w:val="00356D3B"/>
    <w:rsid w:val="00374516"/>
    <w:rsid w:val="00385F5D"/>
    <w:rsid w:val="003908A3"/>
    <w:rsid w:val="003B46BB"/>
    <w:rsid w:val="003C17D4"/>
    <w:rsid w:val="003C323D"/>
    <w:rsid w:val="003D006A"/>
    <w:rsid w:val="003E63A4"/>
    <w:rsid w:val="003F10C3"/>
    <w:rsid w:val="003F3E9B"/>
    <w:rsid w:val="00423BBB"/>
    <w:rsid w:val="004244FE"/>
    <w:rsid w:val="00426A96"/>
    <w:rsid w:val="0043107D"/>
    <w:rsid w:val="00434CE0"/>
    <w:rsid w:val="00440112"/>
    <w:rsid w:val="00447A75"/>
    <w:rsid w:val="00447BC4"/>
    <w:rsid w:val="00450A6F"/>
    <w:rsid w:val="00453982"/>
    <w:rsid w:val="0045442D"/>
    <w:rsid w:val="00454B62"/>
    <w:rsid w:val="00457257"/>
    <w:rsid w:val="00463726"/>
    <w:rsid w:val="004715ED"/>
    <w:rsid w:val="0047585E"/>
    <w:rsid w:val="00480AB1"/>
    <w:rsid w:val="0048310F"/>
    <w:rsid w:val="0048466B"/>
    <w:rsid w:val="004869B2"/>
    <w:rsid w:val="004A551E"/>
    <w:rsid w:val="004B2C71"/>
    <w:rsid w:val="004B5DED"/>
    <w:rsid w:val="004B6DFA"/>
    <w:rsid w:val="004C2E83"/>
    <w:rsid w:val="004C3B8F"/>
    <w:rsid w:val="004C60B3"/>
    <w:rsid w:val="004D7296"/>
    <w:rsid w:val="004E5C74"/>
    <w:rsid w:val="004E72BE"/>
    <w:rsid w:val="004E7CEC"/>
    <w:rsid w:val="004F050B"/>
    <w:rsid w:val="004F0FF4"/>
    <w:rsid w:val="004F5C88"/>
    <w:rsid w:val="0050203B"/>
    <w:rsid w:val="005049DF"/>
    <w:rsid w:val="00507A68"/>
    <w:rsid w:val="0051386D"/>
    <w:rsid w:val="00514348"/>
    <w:rsid w:val="0053771B"/>
    <w:rsid w:val="00537A9E"/>
    <w:rsid w:val="00546432"/>
    <w:rsid w:val="00552C5D"/>
    <w:rsid w:val="0055447F"/>
    <w:rsid w:val="00574250"/>
    <w:rsid w:val="005769C6"/>
    <w:rsid w:val="00577814"/>
    <w:rsid w:val="00582825"/>
    <w:rsid w:val="00584030"/>
    <w:rsid w:val="00585BE8"/>
    <w:rsid w:val="0058754C"/>
    <w:rsid w:val="00591BDF"/>
    <w:rsid w:val="005B02C3"/>
    <w:rsid w:val="005B2ECB"/>
    <w:rsid w:val="005B6D62"/>
    <w:rsid w:val="005C4B6B"/>
    <w:rsid w:val="005F3ECE"/>
    <w:rsid w:val="005F540D"/>
    <w:rsid w:val="005F5BA2"/>
    <w:rsid w:val="00601540"/>
    <w:rsid w:val="00605400"/>
    <w:rsid w:val="00606CCA"/>
    <w:rsid w:val="00610129"/>
    <w:rsid w:val="00610E3F"/>
    <w:rsid w:val="00620F03"/>
    <w:rsid w:val="00640EF4"/>
    <w:rsid w:val="006444CD"/>
    <w:rsid w:val="00647312"/>
    <w:rsid w:val="0065767C"/>
    <w:rsid w:val="006600F4"/>
    <w:rsid w:val="00663917"/>
    <w:rsid w:val="0066478A"/>
    <w:rsid w:val="006704BA"/>
    <w:rsid w:val="00676B3E"/>
    <w:rsid w:val="0068248F"/>
    <w:rsid w:val="00686DF2"/>
    <w:rsid w:val="00687B1E"/>
    <w:rsid w:val="006942CD"/>
    <w:rsid w:val="0069503A"/>
    <w:rsid w:val="006A034B"/>
    <w:rsid w:val="006A18DB"/>
    <w:rsid w:val="006A7935"/>
    <w:rsid w:val="006A7D11"/>
    <w:rsid w:val="006B26CA"/>
    <w:rsid w:val="006C28C7"/>
    <w:rsid w:val="006D1DAE"/>
    <w:rsid w:val="006D3AC2"/>
    <w:rsid w:val="006D7611"/>
    <w:rsid w:val="006E03D9"/>
    <w:rsid w:val="006E046D"/>
    <w:rsid w:val="006E24C2"/>
    <w:rsid w:val="006E4E27"/>
    <w:rsid w:val="006E50AC"/>
    <w:rsid w:val="006F0270"/>
    <w:rsid w:val="006F22A1"/>
    <w:rsid w:val="006F5BD1"/>
    <w:rsid w:val="0070141D"/>
    <w:rsid w:val="007033BB"/>
    <w:rsid w:val="007052FE"/>
    <w:rsid w:val="00712897"/>
    <w:rsid w:val="00715196"/>
    <w:rsid w:val="007208AC"/>
    <w:rsid w:val="007301D4"/>
    <w:rsid w:val="00730FCE"/>
    <w:rsid w:val="00732EBE"/>
    <w:rsid w:val="00733577"/>
    <w:rsid w:val="00736851"/>
    <w:rsid w:val="00736BCB"/>
    <w:rsid w:val="00747BCD"/>
    <w:rsid w:val="007501FD"/>
    <w:rsid w:val="007615D7"/>
    <w:rsid w:val="00765D68"/>
    <w:rsid w:val="00772944"/>
    <w:rsid w:val="00773CFF"/>
    <w:rsid w:val="00786A37"/>
    <w:rsid w:val="007A0BB4"/>
    <w:rsid w:val="007A0C06"/>
    <w:rsid w:val="007A64EC"/>
    <w:rsid w:val="007A6572"/>
    <w:rsid w:val="007A6825"/>
    <w:rsid w:val="007B33E5"/>
    <w:rsid w:val="007D33CF"/>
    <w:rsid w:val="007D395E"/>
    <w:rsid w:val="007D52E9"/>
    <w:rsid w:val="007D5529"/>
    <w:rsid w:val="007E1CAC"/>
    <w:rsid w:val="007E27A4"/>
    <w:rsid w:val="007F1DEC"/>
    <w:rsid w:val="007F4FD4"/>
    <w:rsid w:val="007F5B01"/>
    <w:rsid w:val="00801C29"/>
    <w:rsid w:val="00811A04"/>
    <w:rsid w:val="00823AEB"/>
    <w:rsid w:val="00832179"/>
    <w:rsid w:val="0083562E"/>
    <w:rsid w:val="00840D4B"/>
    <w:rsid w:val="0084258F"/>
    <w:rsid w:val="00850B8F"/>
    <w:rsid w:val="00855664"/>
    <w:rsid w:val="008568B4"/>
    <w:rsid w:val="0086401D"/>
    <w:rsid w:val="0086402F"/>
    <w:rsid w:val="00864B67"/>
    <w:rsid w:val="0086547A"/>
    <w:rsid w:val="0087633E"/>
    <w:rsid w:val="0088045E"/>
    <w:rsid w:val="0088224B"/>
    <w:rsid w:val="008849B5"/>
    <w:rsid w:val="008A6D08"/>
    <w:rsid w:val="008B10B2"/>
    <w:rsid w:val="008B2E0A"/>
    <w:rsid w:val="008B3059"/>
    <w:rsid w:val="008B71A4"/>
    <w:rsid w:val="008C6249"/>
    <w:rsid w:val="008D0940"/>
    <w:rsid w:val="008D7055"/>
    <w:rsid w:val="008E38B9"/>
    <w:rsid w:val="008E38C9"/>
    <w:rsid w:val="008E786B"/>
    <w:rsid w:val="008F2EC4"/>
    <w:rsid w:val="00901651"/>
    <w:rsid w:val="009027C8"/>
    <w:rsid w:val="009103E6"/>
    <w:rsid w:val="00914A6C"/>
    <w:rsid w:val="0091548E"/>
    <w:rsid w:val="009346F6"/>
    <w:rsid w:val="00935617"/>
    <w:rsid w:val="0094407A"/>
    <w:rsid w:val="009451A9"/>
    <w:rsid w:val="00946F07"/>
    <w:rsid w:val="00951319"/>
    <w:rsid w:val="00974118"/>
    <w:rsid w:val="00974A1A"/>
    <w:rsid w:val="009814D3"/>
    <w:rsid w:val="00992290"/>
    <w:rsid w:val="0099334D"/>
    <w:rsid w:val="009A0A02"/>
    <w:rsid w:val="009A65DF"/>
    <w:rsid w:val="009B0FAD"/>
    <w:rsid w:val="009B11C5"/>
    <w:rsid w:val="009B55BF"/>
    <w:rsid w:val="009C133A"/>
    <w:rsid w:val="009D6506"/>
    <w:rsid w:val="009F4CB4"/>
    <w:rsid w:val="00A03F6A"/>
    <w:rsid w:val="00A07197"/>
    <w:rsid w:val="00A11BB4"/>
    <w:rsid w:val="00A1261F"/>
    <w:rsid w:val="00A16909"/>
    <w:rsid w:val="00A20326"/>
    <w:rsid w:val="00A22B09"/>
    <w:rsid w:val="00A24A3A"/>
    <w:rsid w:val="00A260D3"/>
    <w:rsid w:val="00A363E8"/>
    <w:rsid w:val="00A43BA0"/>
    <w:rsid w:val="00A502F5"/>
    <w:rsid w:val="00A50A91"/>
    <w:rsid w:val="00A64803"/>
    <w:rsid w:val="00A661C4"/>
    <w:rsid w:val="00A67C06"/>
    <w:rsid w:val="00A72B16"/>
    <w:rsid w:val="00A818C0"/>
    <w:rsid w:val="00A83635"/>
    <w:rsid w:val="00A849FE"/>
    <w:rsid w:val="00A955FD"/>
    <w:rsid w:val="00A9611B"/>
    <w:rsid w:val="00A96DB8"/>
    <w:rsid w:val="00AA153F"/>
    <w:rsid w:val="00AB1E6D"/>
    <w:rsid w:val="00AB376A"/>
    <w:rsid w:val="00AB5450"/>
    <w:rsid w:val="00AB591D"/>
    <w:rsid w:val="00AB6C96"/>
    <w:rsid w:val="00AC2242"/>
    <w:rsid w:val="00AD0380"/>
    <w:rsid w:val="00AE4009"/>
    <w:rsid w:val="00AE5763"/>
    <w:rsid w:val="00AF1F6D"/>
    <w:rsid w:val="00AF384E"/>
    <w:rsid w:val="00B00EF0"/>
    <w:rsid w:val="00B07CE6"/>
    <w:rsid w:val="00B11A4D"/>
    <w:rsid w:val="00B148BF"/>
    <w:rsid w:val="00B16556"/>
    <w:rsid w:val="00B17490"/>
    <w:rsid w:val="00B27012"/>
    <w:rsid w:val="00B33AF1"/>
    <w:rsid w:val="00B4192C"/>
    <w:rsid w:val="00B46774"/>
    <w:rsid w:val="00B51A21"/>
    <w:rsid w:val="00B52B63"/>
    <w:rsid w:val="00B5403C"/>
    <w:rsid w:val="00B5486D"/>
    <w:rsid w:val="00B673C2"/>
    <w:rsid w:val="00B723D3"/>
    <w:rsid w:val="00B726C7"/>
    <w:rsid w:val="00B739A4"/>
    <w:rsid w:val="00B75B33"/>
    <w:rsid w:val="00B76539"/>
    <w:rsid w:val="00B83491"/>
    <w:rsid w:val="00B933C3"/>
    <w:rsid w:val="00B93522"/>
    <w:rsid w:val="00B937E5"/>
    <w:rsid w:val="00BA14CF"/>
    <w:rsid w:val="00BA4B14"/>
    <w:rsid w:val="00BA777E"/>
    <w:rsid w:val="00BB012B"/>
    <w:rsid w:val="00BC1007"/>
    <w:rsid w:val="00BC1BFE"/>
    <w:rsid w:val="00BC3A0E"/>
    <w:rsid w:val="00BC56DB"/>
    <w:rsid w:val="00BC7191"/>
    <w:rsid w:val="00BC73F9"/>
    <w:rsid w:val="00BD1417"/>
    <w:rsid w:val="00BD450A"/>
    <w:rsid w:val="00BE0E14"/>
    <w:rsid w:val="00BE3A2E"/>
    <w:rsid w:val="00BE6465"/>
    <w:rsid w:val="00BF5708"/>
    <w:rsid w:val="00C00BFF"/>
    <w:rsid w:val="00C01253"/>
    <w:rsid w:val="00C1005D"/>
    <w:rsid w:val="00C1079F"/>
    <w:rsid w:val="00C13601"/>
    <w:rsid w:val="00C24480"/>
    <w:rsid w:val="00C268CA"/>
    <w:rsid w:val="00C26F61"/>
    <w:rsid w:val="00C306F1"/>
    <w:rsid w:val="00C426C0"/>
    <w:rsid w:val="00C459FC"/>
    <w:rsid w:val="00C502D2"/>
    <w:rsid w:val="00C51811"/>
    <w:rsid w:val="00C5443D"/>
    <w:rsid w:val="00C54B68"/>
    <w:rsid w:val="00C60D3A"/>
    <w:rsid w:val="00C62204"/>
    <w:rsid w:val="00C64A6D"/>
    <w:rsid w:val="00C728BC"/>
    <w:rsid w:val="00C73A7F"/>
    <w:rsid w:val="00C76405"/>
    <w:rsid w:val="00C82C75"/>
    <w:rsid w:val="00C85D86"/>
    <w:rsid w:val="00CA1AE9"/>
    <w:rsid w:val="00CA41C1"/>
    <w:rsid w:val="00CB6A93"/>
    <w:rsid w:val="00CB7853"/>
    <w:rsid w:val="00CD1882"/>
    <w:rsid w:val="00CD7A15"/>
    <w:rsid w:val="00CE11E7"/>
    <w:rsid w:val="00CE3972"/>
    <w:rsid w:val="00CF6DE8"/>
    <w:rsid w:val="00CF7CFC"/>
    <w:rsid w:val="00D0212D"/>
    <w:rsid w:val="00D050D8"/>
    <w:rsid w:val="00D10450"/>
    <w:rsid w:val="00D10519"/>
    <w:rsid w:val="00D1123E"/>
    <w:rsid w:val="00D23A82"/>
    <w:rsid w:val="00D337A0"/>
    <w:rsid w:val="00D3434F"/>
    <w:rsid w:val="00D4388F"/>
    <w:rsid w:val="00D57DAB"/>
    <w:rsid w:val="00D60EAC"/>
    <w:rsid w:val="00D61700"/>
    <w:rsid w:val="00D621AE"/>
    <w:rsid w:val="00D67F8A"/>
    <w:rsid w:val="00D70AD7"/>
    <w:rsid w:val="00D70CD4"/>
    <w:rsid w:val="00D74CCD"/>
    <w:rsid w:val="00D83591"/>
    <w:rsid w:val="00D85CEC"/>
    <w:rsid w:val="00D879A7"/>
    <w:rsid w:val="00DA13C7"/>
    <w:rsid w:val="00DA56F2"/>
    <w:rsid w:val="00DC4F0D"/>
    <w:rsid w:val="00DC5392"/>
    <w:rsid w:val="00DC6A13"/>
    <w:rsid w:val="00DD0025"/>
    <w:rsid w:val="00DE1893"/>
    <w:rsid w:val="00DE2DED"/>
    <w:rsid w:val="00DE5464"/>
    <w:rsid w:val="00DF1FF5"/>
    <w:rsid w:val="00DF4FCC"/>
    <w:rsid w:val="00DF73A9"/>
    <w:rsid w:val="00DF7A5B"/>
    <w:rsid w:val="00E023E0"/>
    <w:rsid w:val="00E03B45"/>
    <w:rsid w:val="00E10D42"/>
    <w:rsid w:val="00E11F79"/>
    <w:rsid w:val="00E14949"/>
    <w:rsid w:val="00E153E5"/>
    <w:rsid w:val="00E17BAB"/>
    <w:rsid w:val="00E20090"/>
    <w:rsid w:val="00E20D0B"/>
    <w:rsid w:val="00E2135D"/>
    <w:rsid w:val="00E22792"/>
    <w:rsid w:val="00E22A12"/>
    <w:rsid w:val="00E230AE"/>
    <w:rsid w:val="00E2631B"/>
    <w:rsid w:val="00E26865"/>
    <w:rsid w:val="00E32D27"/>
    <w:rsid w:val="00E354A7"/>
    <w:rsid w:val="00E36F40"/>
    <w:rsid w:val="00E41F82"/>
    <w:rsid w:val="00E46EB2"/>
    <w:rsid w:val="00E55E04"/>
    <w:rsid w:val="00E601B7"/>
    <w:rsid w:val="00E6062A"/>
    <w:rsid w:val="00E60E52"/>
    <w:rsid w:val="00E62428"/>
    <w:rsid w:val="00E64A2E"/>
    <w:rsid w:val="00E65C77"/>
    <w:rsid w:val="00E726ED"/>
    <w:rsid w:val="00E75BA0"/>
    <w:rsid w:val="00E8334E"/>
    <w:rsid w:val="00E855EA"/>
    <w:rsid w:val="00E86266"/>
    <w:rsid w:val="00EA626C"/>
    <w:rsid w:val="00EA6E0F"/>
    <w:rsid w:val="00EA6EA1"/>
    <w:rsid w:val="00EB1DE1"/>
    <w:rsid w:val="00EB5606"/>
    <w:rsid w:val="00EC0438"/>
    <w:rsid w:val="00EC4394"/>
    <w:rsid w:val="00EC4F83"/>
    <w:rsid w:val="00ED14AB"/>
    <w:rsid w:val="00EF1ED7"/>
    <w:rsid w:val="00EF7AAF"/>
    <w:rsid w:val="00F028DF"/>
    <w:rsid w:val="00F11F88"/>
    <w:rsid w:val="00F20D9F"/>
    <w:rsid w:val="00F2132F"/>
    <w:rsid w:val="00F22AB7"/>
    <w:rsid w:val="00F23E42"/>
    <w:rsid w:val="00F244DC"/>
    <w:rsid w:val="00F40FD8"/>
    <w:rsid w:val="00F42DA3"/>
    <w:rsid w:val="00F51634"/>
    <w:rsid w:val="00F519D3"/>
    <w:rsid w:val="00F542BE"/>
    <w:rsid w:val="00F54513"/>
    <w:rsid w:val="00F559C8"/>
    <w:rsid w:val="00F56B6D"/>
    <w:rsid w:val="00F60B90"/>
    <w:rsid w:val="00F67B67"/>
    <w:rsid w:val="00F703C9"/>
    <w:rsid w:val="00F73DC9"/>
    <w:rsid w:val="00F80EEB"/>
    <w:rsid w:val="00F90332"/>
    <w:rsid w:val="00F953D8"/>
    <w:rsid w:val="00F9673D"/>
    <w:rsid w:val="00FA33EF"/>
    <w:rsid w:val="00FB0443"/>
    <w:rsid w:val="00FB126C"/>
    <w:rsid w:val="00FC238F"/>
    <w:rsid w:val="00FD01A5"/>
    <w:rsid w:val="00FD3F2E"/>
    <w:rsid w:val="00FD5AA2"/>
    <w:rsid w:val="00FF0F7D"/>
    <w:rsid w:val="00FF6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F09EC-D429-47E3-AC65-F239B23C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E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01E5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01E5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01E5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01E5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1E5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01E5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01E5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01E51"/>
    <w:rPr>
      <w:rFonts w:ascii="Times New Roman" w:eastAsia="Times New Roman" w:hAnsi="Times New Roman" w:cs="Times New Roman"/>
      <w:b/>
      <w:bCs/>
      <w:sz w:val="28"/>
      <w:szCs w:val="28"/>
      <w:lang w:eastAsia="pl-PL"/>
    </w:rPr>
  </w:style>
  <w:style w:type="paragraph" w:styleId="Spistreci1">
    <w:name w:val="toc 1"/>
    <w:basedOn w:val="Normalny"/>
    <w:next w:val="Normalny"/>
    <w:autoRedefine/>
    <w:uiPriority w:val="39"/>
    <w:rsid w:val="00101E51"/>
    <w:pPr>
      <w:tabs>
        <w:tab w:val="right" w:leader="dot" w:pos="9062"/>
      </w:tabs>
    </w:pPr>
  </w:style>
  <w:style w:type="paragraph" w:styleId="Spistreci2">
    <w:name w:val="toc 2"/>
    <w:basedOn w:val="Normalny"/>
    <w:next w:val="Normalny"/>
    <w:autoRedefine/>
    <w:uiPriority w:val="39"/>
    <w:rsid w:val="006942CD"/>
    <w:pPr>
      <w:tabs>
        <w:tab w:val="right" w:leader="dot" w:pos="9060"/>
      </w:tabs>
      <w:ind w:left="240"/>
    </w:pPr>
    <w:rPr>
      <w:rFonts w:ascii="Arial" w:hAnsi="Arial" w:cs="Arial"/>
      <w:b/>
      <w:sz w:val="20"/>
      <w:szCs w:val="20"/>
    </w:rPr>
  </w:style>
  <w:style w:type="character" w:styleId="Hipercze">
    <w:name w:val="Hyperlink"/>
    <w:basedOn w:val="Domylnaczcionkaakapitu"/>
    <w:uiPriority w:val="99"/>
    <w:rsid w:val="00101E51"/>
    <w:rPr>
      <w:color w:val="0000FF"/>
      <w:u w:val="single"/>
    </w:rPr>
  </w:style>
  <w:style w:type="paragraph" w:customStyle="1" w:styleId="KW1podstawowy">
    <w:name w:val="KW1_podstawowy"/>
    <w:basedOn w:val="Normalny"/>
    <w:next w:val="Normalny"/>
    <w:link w:val="KW1podstawowyZnak"/>
    <w:rsid w:val="00101E51"/>
    <w:pPr>
      <w:spacing w:line="276" w:lineRule="auto"/>
      <w:jc w:val="both"/>
    </w:pPr>
    <w:rPr>
      <w:rFonts w:ascii="Arial" w:hAnsi="Arial"/>
      <w:sz w:val="22"/>
    </w:rPr>
  </w:style>
  <w:style w:type="paragraph" w:customStyle="1" w:styleId="prbny">
    <w:name w:val="próbny"/>
    <w:basedOn w:val="Normalny"/>
    <w:next w:val="Normalny"/>
    <w:rsid w:val="00101E51"/>
  </w:style>
  <w:style w:type="paragraph" w:customStyle="1" w:styleId="PodkrelonyWyjustowany">
    <w:name w:val="Podkreślony Wyjustowany"/>
    <w:basedOn w:val="Normalny"/>
    <w:rsid w:val="00101E51"/>
    <w:pPr>
      <w:jc w:val="both"/>
    </w:pPr>
    <w:rPr>
      <w:u w:val="single"/>
    </w:rPr>
  </w:style>
  <w:style w:type="character" w:customStyle="1" w:styleId="KW1podstawowyZnak">
    <w:name w:val="KW1_podstawowy Znak"/>
    <w:basedOn w:val="Domylnaczcionkaakapitu"/>
    <w:link w:val="KW1podstawowy"/>
    <w:rsid w:val="00101E51"/>
    <w:rPr>
      <w:rFonts w:ascii="Arial" w:eastAsia="Times New Roman" w:hAnsi="Arial" w:cs="Times New Roman"/>
      <w:szCs w:val="24"/>
      <w:lang w:eastAsia="pl-PL"/>
    </w:rPr>
  </w:style>
  <w:style w:type="paragraph" w:styleId="Legenda">
    <w:name w:val="caption"/>
    <w:basedOn w:val="Normalny"/>
    <w:next w:val="Normalny"/>
    <w:qFormat/>
    <w:rsid w:val="00101E51"/>
    <w:rPr>
      <w:b/>
      <w:bCs/>
      <w:sz w:val="20"/>
      <w:szCs w:val="20"/>
    </w:rPr>
  </w:style>
  <w:style w:type="paragraph" w:customStyle="1" w:styleId="KW1podpisyrysunkitabele">
    <w:name w:val="KW1_podpisy_rysunki+tabele"/>
    <w:basedOn w:val="Legenda"/>
    <w:rsid w:val="00101E51"/>
  </w:style>
  <w:style w:type="paragraph" w:customStyle="1" w:styleId="akapit">
    <w:name w:val="_ akapit"/>
    <w:link w:val="akapitZnak"/>
    <w:rsid w:val="00101E51"/>
    <w:pPr>
      <w:spacing w:before="240" w:after="120" w:line="360" w:lineRule="auto"/>
      <w:jc w:val="both"/>
    </w:pPr>
    <w:rPr>
      <w:rFonts w:ascii="Arial" w:eastAsia="Times New Roman" w:hAnsi="Arial" w:cs="Arial"/>
      <w:lang w:eastAsia="pl-PL"/>
    </w:rPr>
  </w:style>
  <w:style w:type="character" w:customStyle="1" w:styleId="akapitZnak">
    <w:name w:val="_ akapit Znak"/>
    <w:basedOn w:val="Domylnaczcionkaakapitu"/>
    <w:link w:val="akapit"/>
    <w:rsid w:val="00101E51"/>
    <w:rPr>
      <w:rFonts w:ascii="Arial" w:eastAsia="Times New Roman" w:hAnsi="Arial" w:cs="Arial"/>
      <w:lang w:eastAsia="pl-PL"/>
    </w:rPr>
  </w:style>
  <w:style w:type="paragraph" w:styleId="Spistreci3">
    <w:name w:val="toc 3"/>
    <w:basedOn w:val="Normalny"/>
    <w:next w:val="Normalny"/>
    <w:autoRedefine/>
    <w:uiPriority w:val="39"/>
    <w:rsid w:val="00101E51"/>
    <w:pPr>
      <w:ind w:left="480"/>
    </w:pPr>
  </w:style>
  <w:style w:type="character" w:customStyle="1" w:styleId="Stylwiadomocie-mail31">
    <w:name w:val="Styl wiadomości e-mail 31"/>
    <w:basedOn w:val="Domylnaczcionkaakapitu"/>
    <w:semiHidden/>
    <w:rsid w:val="00101E51"/>
    <w:rPr>
      <w:color w:val="000000"/>
    </w:rPr>
  </w:style>
  <w:style w:type="paragraph" w:styleId="Tekstpodstawowy">
    <w:name w:val="Body Text"/>
    <w:basedOn w:val="Normalny"/>
    <w:link w:val="TekstpodstawowyZnak"/>
    <w:rsid w:val="00101E51"/>
    <w:pPr>
      <w:spacing w:after="200" w:line="288" w:lineRule="auto"/>
      <w:ind w:left="624"/>
      <w:jc w:val="both"/>
    </w:pPr>
    <w:rPr>
      <w:sz w:val="22"/>
      <w:szCs w:val="20"/>
      <w:lang w:val="en-GB" w:eastAsia="en-US"/>
    </w:rPr>
  </w:style>
  <w:style w:type="character" w:customStyle="1" w:styleId="TekstpodstawowyZnak">
    <w:name w:val="Tekst podstawowy Znak"/>
    <w:basedOn w:val="Domylnaczcionkaakapitu"/>
    <w:link w:val="Tekstpodstawowy"/>
    <w:rsid w:val="00101E51"/>
    <w:rPr>
      <w:rFonts w:ascii="Times New Roman" w:eastAsia="Times New Roman" w:hAnsi="Times New Roman" w:cs="Times New Roman"/>
      <w:szCs w:val="20"/>
      <w:lang w:val="en-GB"/>
    </w:rPr>
  </w:style>
  <w:style w:type="paragraph" w:styleId="Zwykytekst">
    <w:name w:val="Plain Text"/>
    <w:basedOn w:val="Normalny"/>
    <w:link w:val="ZwykytekstZnak"/>
    <w:uiPriority w:val="99"/>
    <w:rsid w:val="00101E51"/>
    <w:rPr>
      <w:rFonts w:ascii="Courier New" w:hAnsi="Courier New" w:cs="Courier New"/>
      <w:sz w:val="20"/>
      <w:szCs w:val="20"/>
    </w:rPr>
  </w:style>
  <w:style w:type="character" w:customStyle="1" w:styleId="ZwykytekstZnak">
    <w:name w:val="Zwykły tekst Znak"/>
    <w:basedOn w:val="Domylnaczcionkaakapitu"/>
    <w:link w:val="Zwykytekst"/>
    <w:uiPriority w:val="99"/>
    <w:rsid w:val="00101E51"/>
    <w:rPr>
      <w:rFonts w:ascii="Courier New" w:eastAsia="Times New Roman" w:hAnsi="Courier New" w:cs="Courier New"/>
      <w:sz w:val="20"/>
      <w:szCs w:val="20"/>
      <w:lang w:eastAsia="pl-PL"/>
    </w:rPr>
  </w:style>
  <w:style w:type="paragraph" w:customStyle="1" w:styleId="normalny0">
    <w:name w:val="_ normalny"/>
    <w:basedOn w:val="Normalny"/>
    <w:qFormat/>
    <w:rsid w:val="00101E51"/>
    <w:pPr>
      <w:spacing w:before="120" w:after="120" w:line="276" w:lineRule="auto"/>
      <w:ind w:left="-6"/>
      <w:contextualSpacing/>
      <w:jc w:val="both"/>
    </w:pPr>
    <w:rPr>
      <w:rFonts w:ascii="Calibri" w:eastAsia="Calibri" w:hAnsi="Calibri"/>
      <w:sz w:val="22"/>
      <w:szCs w:val="22"/>
      <w:lang w:eastAsia="en-US"/>
    </w:rPr>
  </w:style>
  <w:style w:type="paragraph" w:customStyle="1" w:styleId="obiekt">
    <w:name w:val="_ obiekt"/>
    <w:basedOn w:val="normalny0"/>
    <w:qFormat/>
    <w:rsid w:val="00101E51"/>
    <w:pPr>
      <w:spacing w:before="60" w:after="60"/>
      <w:ind w:left="0"/>
      <w:jc w:val="left"/>
    </w:pPr>
    <w:rPr>
      <w:noProof/>
      <w:lang w:eastAsia="pl-PL"/>
    </w:rPr>
  </w:style>
  <w:style w:type="paragraph" w:customStyle="1" w:styleId="zrodlo">
    <w:name w:val="_ zrodlo"/>
    <w:basedOn w:val="normalny0"/>
    <w:qFormat/>
    <w:rsid w:val="00101E51"/>
    <w:pPr>
      <w:spacing w:before="60" w:after="240"/>
      <w:ind w:left="0"/>
    </w:pPr>
  </w:style>
  <w:style w:type="paragraph" w:customStyle="1" w:styleId="wykres">
    <w:name w:val="_ wykres"/>
    <w:basedOn w:val="normalny0"/>
    <w:qFormat/>
    <w:rsid w:val="00101E51"/>
    <w:pPr>
      <w:spacing w:before="240" w:after="60"/>
      <w:ind w:left="0"/>
    </w:pPr>
  </w:style>
  <w:style w:type="paragraph" w:styleId="Tekstprzypisudolnego">
    <w:name w:val="footnote text"/>
    <w:basedOn w:val="Normalny"/>
    <w:link w:val="TekstprzypisudolnegoZnak"/>
    <w:uiPriority w:val="99"/>
    <w:unhideWhenUsed/>
    <w:rsid w:val="00101E51"/>
    <w:pPr>
      <w:ind w:left="709" w:hanging="567"/>
      <w:jc w:val="both"/>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101E51"/>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101E51"/>
    <w:rPr>
      <w:vertAlign w:val="superscript"/>
    </w:rPr>
  </w:style>
  <w:style w:type="paragraph" w:styleId="Akapitzlist">
    <w:name w:val="List Paragraph"/>
    <w:basedOn w:val="Normalny"/>
    <w:uiPriority w:val="34"/>
    <w:qFormat/>
    <w:rsid w:val="00101E51"/>
    <w:pPr>
      <w:spacing w:after="120" w:line="276" w:lineRule="auto"/>
      <w:ind w:left="720"/>
      <w:contextualSpacing/>
      <w:jc w:val="both"/>
    </w:pPr>
    <w:rPr>
      <w:rFonts w:ascii="Calibri" w:eastAsia="Calibri" w:hAnsi="Calibri"/>
      <w:sz w:val="20"/>
      <w:szCs w:val="22"/>
      <w:lang w:eastAsia="en-US"/>
    </w:rPr>
  </w:style>
  <w:style w:type="paragraph" w:customStyle="1" w:styleId="tabela8">
    <w:name w:val="_ tabela8"/>
    <w:basedOn w:val="Normalny"/>
    <w:qFormat/>
    <w:rsid w:val="00101E51"/>
    <w:pPr>
      <w:spacing w:line="276" w:lineRule="auto"/>
      <w:jc w:val="both"/>
    </w:pPr>
    <w:rPr>
      <w:rFonts w:ascii="Calibri" w:eastAsia="Calibri" w:hAnsi="Calibri"/>
      <w:sz w:val="16"/>
      <w:szCs w:val="22"/>
    </w:rPr>
  </w:style>
  <w:style w:type="paragraph" w:styleId="Bezodstpw">
    <w:name w:val="No Spacing"/>
    <w:uiPriority w:val="1"/>
    <w:qFormat/>
    <w:rsid w:val="00101E5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101E51"/>
    <w:rPr>
      <w:rFonts w:ascii="Tahoma" w:hAnsi="Tahoma" w:cs="Tahoma"/>
      <w:sz w:val="16"/>
      <w:szCs w:val="16"/>
    </w:rPr>
  </w:style>
  <w:style w:type="character" w:customStyle="1" w:styleId="TekstdymkaZnak">
    <w:name w:val="Tekst dymka Znak"/>
    <w:basedOn w:val="Domylnaczcionkaakapitu"/>
    <w:link w:val="Tekstdymka"/>
    <w:uiPriority w:val="99"/>
    <w:semiHidden/>
    <w:rsid w:val="00101E51"/>
    <w:rPr>
      <w:rFonts w:ascii="Tahoma" w:eastAsia="Times New Roman" w:hAnsi="Tahoma" w:cs="Tahoma"/>
      <w:sz w:val="16"/>
      <w:szCs w:val="16"/>
      <w:lang w:eastAsia="pl-PL"/>
    </w:rPr>
  </w:style>
  <w:style w:type="paragraph" w:styleId="Nagwek">
    <w:name w:val="header"/>
    <w:basedOn w:val="Normalny"/>
    <w:link w:val="NagwekZnak"/>
    <w:uiPriority w:val="99"/>
    <w:unhideWhenUsed/>
    <w:rsid w:val="00101E51"/>
    <w:pPr>
      <w:tabs>
        <w:tab w:val="center" w:pos="4536"/>
        <w:tab w:val="right" w:pos="9072"/>
      </w:tabs>
    </w:pPr>
  </w:style>
  <w:style w:type="character" w:customStyle="1" w:styleId="NagwekZnak">
    <w:name w:val="Nagłówek Znak"/>
    <w:basedOn w:val="Domylnaczcionkaakapitu"/>
    <w:link w:val="Nagwek"/>
    <w:uiPriority w:val="99"/>
    <w:rsid w:val="00101E5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1E51"/>
    <w:pPr>
      <w:tabs>
        <w:tab w:val="center" w:pos="4536"/>
        <w:tab w:val="right" w:pos="9072"/>
      </w:tabs>
    </w:pPr>
  </w:style>
  <w:style w:type="character" w:customStyle="1" w:styleId="StopkaZnak">
    <w:name w:val="Stopka Znak"/>
    <w:basedOn w:val="Domylnaczcionkaakapitu"/>
    <w:link w:val="Stopka"/>
    <w:uiPriority w:val="99"/>
    <w:rsid w:val="00101E51"/>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101E5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101E51"/>
    <w:rPr>
      <w:rFonts w:ascii="Tahoma" w:eastAsia="Times New Roman" w:hAnsi="Tahoma" w:cs="Tahoma"/>
      <w:sz w:val="20"/>
      <w:szCs w:val="20"/>
      <w:shd w:val="clear" w:color="auto" w:fill="000080"/>
      <w:lang w:eastAsia="pl-PL"/>
    </w:rPr>
  </w:style>
  <w:style w:type="character" w:customStyle="1" w:styleId="FootnoteTextChar">
    <w:name w:val="Footnote Text Char"/>
    <w:basedOn w:val="Domylnaczcionkaakapitu"/>
    <w:semiHidden/>
    <w:locked/>
    <w:rsid w:val="00101E51"/>
    <w:rPr>
      <w:rFonts w:cs="Times New Roman"/>
      <w:sz w:val="20"/>
      <w:szCs w:val="20"/>
    </w:rPr>
  </w:style>
  <w:style w:type="paragraph" w:customStyle="1" w:styleId="kat1">
    <w:name w:val="_ kat1"/>
    <w:basedOn w:val="Normalny"/>
    <w:rsid w:val="00101E51"/>
    <w:pPr>
      <w:keepNext/>
      <w:numPr>
        <w:numId w:val="24"/>
      </w:numPr>
      <w:spacing w:before="120" w:after="120" w:line="276" w:lineRule="auto"/>
      <w:ind w:left="357" w:hanging="357"/>
      <w:contextualSpacing/>
      <w:jc w:val="both"/>
    </w:pPr>
    <w:rPr>
      <w:rFonts w:ascii="Calibri" w:hAnsi="Calibri"/>
      <w:b/>
      <w:sz w:val="22"/>
      <w:szCs w:val="22"/>
      <w:lang w:eastAsia="en-US"/>
    </w:rPr>
  </w:style>
  <w:style w:type="paragraph" w:customStyle="1" w:styleId="kat2">
    <w:name w:val="_ kat2"/>
    <w:basedOn w:val="Normalny"/>
    <w:rsid w:val="00101E51"/>
    <w:pPr>
      <w:keepNext/>
      <w:numPr>
        <w:ilvl w:val="1"/>
        <w:numId w:val="24"/>
      </w:numPr>
      <w:spacing w:before="120" w:after="120" w:line="276" w:lineRule="auto"/>
      <w:ind w:left="431" w:hanging="431"/>
      <w:contextualSpacing/>
      <w:jc w:val="both"/>
    </w:pPr>
    <w:rPr>
      <w:rFonts w:ascii="Calibri" w:hAnsi="Calibri"/>
      <w:sz w:val="22"/>
      <w:szCs w:val="22"/>
      <w:lang w:eastAsia="en-US"/>
    </w:rPr>
  </w:style>
  <w:style w:type="table" w:styleId="Tabela-Siatka">
    <w:name w:val="Table Grid"/>
    <w:basedOn w:val="Standardowy"/>
    <w:uiPriority w:val="59"/>
    <w:rsid w:val="00AE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0C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Jasnecieniowanie1">
    <w:name w:val="Jasne cieniowanie1"/>
    <w:basedOn w:val="Standardowy"/>
    <w:uiPriority w:val="60"/>
    <w:rsid w:val="006942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6942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lista1">
    <w:name w:val="Jasna lista1"/>
    <w:basedOn w:val="Standardowy"/>
    <w:uiPriority w:val="61"/>
    <w:rsid w:val="00694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siatka1">
    <w:name w:val="Jasna siatka1"/>
    <w:basedOn w:val="Standardowy"/>
    <w:uiPriority w:val="62"/>
    <w:rsid w:val="00694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Jasnasiatkaakcent11">
    <w:name w:val="Jasna siatka — akcent 11"/>
    <w:basedOn w:val="Standardowy"/>
    <w:uiPriority w:val="62"/>
    <w:rsid w:val="00694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rsid w:val="006942C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rsid w:val="006942C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rsid w:val="006942C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redniecieniowanie2akcent4">
    <w:name w:val="Medium Shading 2 Accent 4"/>
    <w:basedOn w:val="Standardowy"/>
    <w:uiPriority w:val="64"/>
    <w:rsid w:val="00694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1akcent4">
    <w:name w:val="Medium Grid 1 Accent 4"/>
    <w:basedOn w:val="Standardowy"/>
    <w:uiPriority w:val="67"/>
    <w:rsid w:val="006942C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ZnakZnakZnak">
    <w:name w:val="Znak Znak Znak"/>
    <w:basedOn w:val="Normalny"/>
    <w:rsid w:val="00B00EF0"/>
    <w:rPr>
      <w:rFonts w:ascii="Arial" w:hAnsi="Arial"/>
      <w:sz w:val="20"/>
    </w:rPr>
  </w:style>
  <w:style w:type="paragraph" w:styleId="Tekstprzypisukocowego">
    <w:name w:val="endnote text"/>
    <w:basedOn w:val="Normalny"/>
    <w:link w:val="TekstprzypisukocowegoZnak"/>
    <w:uiPriority w:val="99"/>
    <w:semiHidden/>
    <w:unhideWhenUsed/>
    <w:rsid w:val="004F0FF4"/>
    <w:rPr>
      <w:sz w:val="20"/>
      <w:szCs w:val="20"/>
    </w:rPr>
  </w:style>
  <w:style w:type="character" w:customStyle="1" w:styleId="TekstprzypisukocowegoZnak">
    <w:name w:val="Tekst przypisu końcowego Znak"/>
    <w:basedOn w:val="Domylnaczcionkaakapitu"/>
    <w:link w:val="Tekstprzypisukocowego"/>
    <w:uiPriority w:val="99"/>
    <w:semiHidden/>
    <w:rsid w:val="004F0FF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0FF4"/>
    <w:rPr>
      <w:vertAlign w:val="superscript"/>
    </w:rPr>
  </w:style>
  <w:style w:type="table" w:styleId="Jasnasiatkaakcent5">
    <w:name w:val="Light Grid Accent 5"/>
    <w:basedOn w:val="Standardowy"/>
    <w:uiPriority w:val="62"/>
    <w:rsid w:val="003D00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asiatka1akcent1">
    <w:name w:val="Medium Grid 1 Accent 1"/>
    <w:basedOn w:val="Standardowy"/>
    <w:uiPriority w:val="67"/>
    <w:rsid w:val="003D006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Odwoaniedokomentarza">
    <w:name w:val="annotation reference"/>
    <w:basedOn w:val="Domylnaczcionkaakapitu"/>
    <w:uiPriority w:val="99"/>
    <w:semiHidden/>
    <w:unhideWhenUsed/>
    <w:rsid w:val="00C76405"/>
    <w:rPr>
      <w:sz w:val="16"/>
      <w:szCs w:val="16"/>
    </w:rPr>
  </w:style>
  <w:style w:type="paragraph" w:styleId="Tekstkomentarza">
    <w:name w:val="annotation text"/>
    <w:basedOn w:val="Normalny"/>
    <w:link w:val="TekstkomentarzaZnak"/>
    <w:uiPriority w:val="99"/>
    <w:semiHidden/>
    <w:unhideWhenUsed/>
    <w:rsid w:val="00C76405"/>
    <w:rPr>
      <w:sz w:val="20"/>
      <w:szCs w:val="20"/>
    </w:rPr>
  </w:style>
  <w:style w:type="character" w:customStyle="1" w:styleId="TekstkomentarzaZnak">
    <w:name w:val="Tekst komentarza Znak"/>
    <w:basedOn w:val="Domylnaczcionkaakapitu"/>
    <w:link w:val="Tekstkomentarza"/>
    <w:uiPriority w:val="99"/>
    <w:semiHidden/>
    <w:rsid w:val="00C764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6405"/>
    <w:rPr>
      <w:b/>
      <w:bCs/>
    </w:rPr>
  </w:style>
  <w:style w:type="character" w:customStyle="1" w:styleId="TematkomentarzaZnak">
    <w:name w:val="Temat komentarza Znak"/>
    <w:basedOn w:val="TekstkomentarzaZnak"/>
    <w:link w:val="Tematkomentarza"/>
    <w:uiPriority w:val="99"/>
    <w:semiHidden/>
    <w:rsid w:val="00C76405"/>
    <w:rPr>
      <w:rFonts w:ascii="Times New Roman" w:eastAsia="Times New Roman" w:hAnsi="Times New Roman" w:cs="Times New Roman"/>
      <w:b/>
      <w:bCs/>
      <w:sz w:val="20"/>
      <w:szCs w:val="20"/>
      <w:lang w:eastAsia="pl-PL"/>
    </w:rPr>
  </w:style>
  <w:style w:type="character" w:styleId="Pogrubienie">
    <w:name w:val="Strong"/>
    <w:uiPriority w:val="22"/>
    <w:qFormat/>
    <w:rsid w:val="00A50A91"/>
    <w:rPr>
      <w:b/>
      <w:bCs/>
    </w:rPr>
  </w:style>
  <w:style w:type="paragraph" w:styleId="NormalnyWeb">
    <w:name w:val="Normal (Web)"/>
    <w:basedOn w:val="Normalny"/>
    <w:uiPriority w:val="99"/>
    <w:rsid w:val="004572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740">
      <w:bodyDiv w:val="1"/>
      <w:marLeft w:val="0"/>
      <w:marRight w:val="0"/>
      <w:marTop w:val="0"/>
      <w:marBottom w:val="0"/>
      <w:divBdr>
        <w:top w:val="none" w:sz="0" w:space="0" w:color="auto"/>
        <w:left w:val="none" w:sz="0" w:space="0" w:color="auto"/>
        <w:bottom w:val="none" w:sz="0" w:space="0" w:color="auto"/>
        <w:right w:val="none" w:sz="0" w:space="0" w:color="auto"/>
      </w:divBdr>
    </w:div>
    <w:div w:id="55250788">
      <w:bodyDiv w:val="1"/>
      <w:marLeft w:val="0"/>
      <w:marRight w:val="0"/>
      <w:marTop w:val="0"/>
      <w:marBottom w:val="0"/>
      <w:divBdr>
        <w:top w:val="none" w:sz="0" w:space="0" w:color="auto"/>
        <w:left w:val="none" w:sz="0" w:space="0" w:color="auto"/>
        <w:bottom w:val="none" w:sz="0" w:space="0" w:color="auto"/>
        <w:right w:val="none" w:sz="0" w:space="0" w:color="auto"/>
      </w:divBdr>
    </w:div>
    <w:div w:id="89668749">
      <w:bodyDiv w:val="1"/>
      <w:marLeft w:val="0"/>
      <w:marRight w:val="0"/>
      <w:marTop w:val="0"/>
      <w:marBottom w:val="0"/>
      <w:divBdr>
        <w:top w:val="none" w:sz="0" w:space="0" w:color="auto"/>
        <w:left w:val="none" w:sz="0" w:space="0" w:color="auto"/>
        <w:bottom w:val="none" w:sz="0" w:space="0" w:color="auto"/>
        <w:right w:val="none" w:sz="0" w:space="0" w:color="auto"/>
      </w:divBdr>
    </w:div>
    <w:div w:id="113405494">
      <w:bodyDiv w:val="1"/>
      <w:marLeft w:val="0"/>
      <w:marRight w:val="0"/>
      <w:marTop w:val="0"/>
      <w:marBottom w:val="0"/>
      <w:divBdr>
        <w:top w:val="none" w:sz="0" w:space="0" w:color="auto"/>
        <w:left w:val="none" w:sz="0" w:space="0" w:color="auto"/>
        <w:bottom w:val="none" w:sz="0" w:space="0" w:color="auto"/>
        <w:right w:val="none" w:sz="0" w:space="0" w:color="auto"/>
      </w:divBdr>
    </w:div>
    <w:div w:id="214857048">
      <w:bodyDiv w:val="1"/>
      <w:marLeft w:val="0"/>
      <w:marRight w:val="0"/>
      <w:marTop w:val="0"/>
      <w:marBottom w:val="0"/>
      <w:divBdr>
        <w:top w:val="none" w:sz="0" w:space="0" w:color="auto"/>
        <w:left w:val="none" w:sz="0" w:space="0" w:color="auto"/>
        <w:bottom w:val="none" w:sz="0" w:space="0" w:color="auto"/>
        <w:right w:val="none" w:sz="0" w:space="0" w:color="auto"/>
      </w:divBdr>
    </w:div>
    <w:div w:id="233394747">
      <w:bodyDiv w:val="1"/>
      <w:marLeft w:val="0"/>
      <w:marRight w:val="0"/>
      <w:marTop w:val="0"/>
      <w:marBottom w:val="0"/>
      <w:divBdr>
        <w:top w:val="none" w:sz="0" w:space="0" w:color="auto"/>
        <w:left w:val="none" w:sz="0" w:space="0" w:color="auto"/>
        <w:bottom w:val="none" w:sz="0" w:space="0" w:color="auto"/>
        <w:right w:val="none" w:sz="0" w:space="0" w:color="auto"/>
      </w:divBdr>
    </w:div>
    <w:div w:id="501821166">
      <w:bodyDiv w:val="1"/>
      <w:marLeft w:val="0"/>
      <w:marRight w:val="0"/>
      <w:marTop w:val="0"/>
      <w:marBottom w:val="0"/>
      <w:divBdr>
        <w:top w:val="none" w:sz="0" w:space="0" w:color="auto"/>
        <w:left w:val="none" w:sz="0" w:space="0" w:color="auto"/>
        <w:bottom w:val="none" w:sz="0" w:space="0" w:color="auto"/>
        <w:right w:val="none" w:sz="0" w:space="0" w:color="auto"/>
      </w:divBdr>
    </w:div>
    <w:div w:id="584339243">
      <w:bodyDiv w:val="1"/>
      <w:marLeft w:val="0"/>
      <w:marRight w:val="0"/>
      <w:marTop w:val="0"/>
      <w:marBottom w:val="0"/>
      <w:divBdr>
        <w:top w:val="none" w:sz="0" w:space="0" w:color="auto"/>
        <w:left w:val="none" w:sz="0" w:space="0" w:color="auto"/>
        <w:bottom w:val="none" w:sz="0" w:space="0" w:color="auto"/>
        <w:right w:val="none" w:sz="0" w:space="0" w:color="auto"/>
      </w:divBdr>
    </w:div>
    <w:div w:id="723993246">
      <w:bodyDiv w:val="1"/>
      <w:marLeft w:val="0"/>
      <w:marRight w:val="0"/>
      <w:marTop w:val="0"/>
      <w:marBottom w:val="0"/>
      <w:divBdr>
        <w:top w:val="none" w:sz="0" w:space="0" w:color="auto"/>
        <w:left w:val="none" w:sz="0" w:space="0" w:color="auto"/>
        <w:bottom w:val="none" w:sz="0" w:space="0" w:color="auto"/>
        <w:right w:val="none" w:sz="0" w:space="0" w:color="auto"/>
      </w:divBdr>
    </w:div>
    <w:div w:id="914128862">
      <w:bodyDiv w:val="1"/>
      <w:marLeft w:val="0"/>
      <w:marRight w:val="0"/>
      <w:marTop w:val="0"/>
      <w:marBottom w:val="0"/>
      <w:divBdr>
        <w:top w:val="none" w:sz="0" w:space="0" w:color="auto"/>
        <w:left w:val="none" w:sz="0" w:space="0" w:color="auto"/>
        <w:bottom w:val="none" w:sz="0" w:space="0" w:color="auto"/>
        <w:right w:val="none" w:sz="0" w:space="0" w:color="auto"/>
      </w:divBdr>
    </w:div>
    <w:div w:id="966810499">
      <w:bodyDiv w:val="1"/>
      <w:marLeft w:val="0"/>
      <w:marRight w:val="0"/>
      <w:marTop w:val="0"/>
      <w:marBottom w:val="0"/>
      <w:divBdr>
        <w:top w:val="none" w:sz="0" w:space="0" w:color="auto"/>
        <w:left w:val="none" w:sz="0" w:space="0" w:color="auto"/>
        <w:bottom w:val="none" w:sz="0" w:space="0" w:color="auto"/>
        <w:right w:val="none" w:sz="0" w:space="0" w:color="auto"/>
      </w:divBdr>
    </w:div>
    <w:div w:id="998654114">
      <w:bodyDiv w:val="1"/>
      <w:marLeft w:val="0"/>
      <w:marRight w:val="0"/>
      <w:marTop w:val="0"/>
      <w:marBottom w:val="0"/>
      <w:divBdr>
        <w:top w:val="none" w:sz="0" w:space="0" w:color="auto"/>
        <w:left w:val="none" w:sz="0" w:space="0" w:color="auto"/>
        <w:bottom w:val="none" w:sz="0" w:space="0" w:color="auto"/>
        <w:right w:val="none" w:sz="0" w:space="0" w:color="auto"/>
      </w:divBdr>
    </w:div>
    <w:div w:id="1219628509">
      <w:bodyDiv w:val="1"/>
      <w:marLeft w:val="0"/>
      <w:marRight w:val="0"/>
      <w:marTop w:val="0"/>
      <w:marBottom w:val="0"/>
      <w:divBdr>
        <w:top w:val="none" w:sz="0" w:space="0" w:color="auto"/>
        <w:left w:val="none" w:sz="0" w:space="0" w:color="auto"/>
        <w:bottom w:val="none" w:sz="0" w:space="0" w:color="auto"/>
        <w:right w:val="none" w:sz="0" w:space="0" w:color="auto"/>
      </w:divBdr>
    </w:div>
    <w:div w:id="1353801416">
      <w:bodyDiv w:val="1"/>
      <w:marLeft w:val="0"/>
      <w:marRight w:val="0"/>
      <w:marTop w:val="0"/>
      <w:marBottom w:val="0"/>
      <w:divBdr>
        <w:top w:val="none" w:sz="0" w:space="0" w:color="auto"/>
        <w:left w:val="none" w:sz="0" w:space="0" w:color="auto"/>
        <w:bottom w:val="none" w:sz="0" w:space="0" w:color="auto"/>
        <w:right w:val="none" w:sz="0" w:space="0" w:color="auto"/>
      </w:divBdr>
    </w:div>
    <w:div w:id="1482966201">
      <w:bodyDiv w:val="1"/>
      <w:marLeft w:val="0"/>
      <w:marRight w:val="0"/>
      <w:marTop w:val="0"/>
      <w:marBottom w:val="0"/>
      <w:divBdr>
        <w:top w:val="none" w:sz="0" w:space="0" w:color="auto"/>
        <w:left w:val="none" w:sz="0" w:space="0" w:color="auto"/>
        <w:bottom w:val="none" w:sz="0" w:space="0" w:color="auto"/>
        <w:right w:val="none" w:sz="0" w:space="0" w:color="auto"/>
      </w:divBdr>
    </w:div>
    <w:div w:id="1546481592">
      <w:bodyDiv w:val="1"/>
      <w:marLeft w:val="0"/>
      <w:marRight w:val="0"/>
      <w:marTop w:val="0"/>
      <w:marBottom w:val="0"/>
      <w:divBdr>
        <w:top w:val="none" w:sz="0" w:space="0" w:color="auto"/>
        <w:left w:val="none" w:sz="0" w:space="0" w:color="auto"/>
        <w:bottom w:val="none" w:sz="0" w:space="0" w:color="auto"/>
        <w:right w:val="none" w:sz="0" w:space="0" w:color="auto"/>
      </w:divBdr>
    </w:div>
    <w:div w:id="1684555107">
      <w:bodyDiv w:val="1"/>
      <w:marLeft w:val="0"/>
      <w:marRight w:val="0"/>
      <w:marTop w:val="0"/>
      <w:marBottom w:val="0"/>
      <w:divBdr>
        <w:top w:val="none" w:sz="0" w:space="0" w:color="auto"/>
        <w:left w:val="none" w:sz="0" w:space="0" w:color="auto"/>
        <w:bottom w:val="none" w:sz="0" w:space="0" w:color="auto"/>
        <w:right w:val="none" w:sz="0" w:space="0" w:color="auto"/>
      </w:divBdr>
    </w:div>
    <w:div w:id="1712345962">
      <w:bodyDiv w:val="1"/>
      <w:marLeft w:val="0"/>
      <w:marRight w:val="0"/>
      <w:marTop w:val="0"/>
      <w:marBottom w:val="0"/>
      <w:divBdr>
        <w:top w:val="none" w:sz="0" w:space="0" w:color="auto"/>
        <w:left w:val="none" w:sz="0" w:space="0" w:color="auto"/>
        <w:bottom w:val="none" w:sz="0" w:space="0" w:color="auto"/>
        <w:right w:val="none" w:sz="0" w:space="0" w:color="auto"/>
      </w:divBdr>
    </w:div>
    <w:div w:id="1713262858">
      <w:bodyDiv w:val="1"/>
      <w:marLeft w:val="0"/>
      <w:marRight w:val="0"/>
      <w:marTop w:val="0"/>
      <w:marBottom w:val="0"/>
      <w:divBdr>
        <w:top w:val="none" w:sz="0" w:space="0" w:color="auto"/>
        <w:left w:val="none" w:sz="0" w:space="0" w:color="auto"/>
        <w:bottom w:val="none" w:sz="0" w:space="0" w:color="auto"/>
        <w:right w:val="none" w:sz="0" w:space="0" w:color="auto"/>
      </w:divBdr>
    </w:div>
    <w:div w:id="1959216296">
      <w:bodyDiv w:val="1"/>
      <w:marLeft w:val="0"/>
      <w:marRight w:val="0"/>
      <w:marTop w:val="0"/>
      <w:marBottom w:val="0"/>
      <w:divBdr>
        <w:top w:val="none" w:sz="0" w:space="0" w:color="auto"/>
        <w:left w:val="none" w:sz="0" w:space="0" w:color="auto"/>
        <w:bottom w:val="none" w:sz="0" w:space="0" w:color="auto"/>
        <w:right w:val="none" w:sz="0" w:space="0" w:color="auto"/>
      </w:divBdr>
    </w:div>
    <w:div w:id="1987466717">
      <w:bodyDiv w:val="1"/>
      <w:marLeft w:val="0"/>
      <w:marRight w:val="0"/>
      <w:marTop w:val="0"/>
      <w:marBottom w:val="0"/>
      <w:divBdr>
        <w:top w:val="none" w:sz="0" w:space="0" w:color="auto"/>
        <w:left w:val="none" w:sz="0" w:space="0" w:color="auto"/>
        <w:bottom w:val="none" w:sz="0" w:space="0" w:color="auto"/>
        <w:right w:val="none" w:sz="0" w:space="0" w:color="auto"/>
      </w:divBdr>
    </w:div>
    <w:div w:id="2020695176">
      <w:bodyDiv w:val="1"/>
      <w:marLeft w:val="0"/>
      <w:marRight w:val="0"/>
      <w:marTop w:val="0"/>
      <w:marBottom w:val="0"/>
      <w:divBdr>
        <w:top w:val="none" w:sz="0" w:space="0" w:color="auto"/>
        <w:left w:val="none" w:sz="0" w:space="0" w:color="auto"/>
        <w:bottom w:val="none" w:sz="0" w:space="0" w:color="auto"/>
        <w:right w:val="none" w:sz="0" w:space="0" w:color="auto"/>
      </w:divBdr>
    </w:div>
    <w:div w:id="2021154424">
      <w:bodyDiv w:val="1"/>
      <w:marLeft w:val="0"/>
      <w:marRight w:val="0"/>
      <w:marTop w:val="0"/>
      <w:marBottom w:val="0"/>
      <w:divBdr>
        <w:top w:val="none" w:sz="0" w:space="0" w:color="auto"/>
        <w:left w:val="none" w:sz="0" w:space="0" w:color="auto"/>
        <w:bottom w:val="none" w:sz="0" w:space="0" w:color="auto"/>
        <w:right w:val="none" w:sz="0" w:space="0" w:color="auto"/>
      </w:divBdr>
    </w:div>
    <w:div w:id="20729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mdevelopmen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mdevelopment.pl" TargetMode="External"/><Relationship Id="rId5" Type="http://schemas.openxmlformats.org/officeDocument/2006/relationships/webSettings" Target="webSettings.xml"/><Relationship Id="rId15" Type="http://schemas.openxmlformats.org/officeDocument/2006/relationships/hyperlink" Target="http://www.pmdevelopment.p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iuro@pmdevelopmen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2CC8-1D08-4BA1-97BB-4E188536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2801</Words>
  <Characters>16811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Paweł</cp:lastModifiedBy>
  <cp:revision>49</cp:revision>
  <cp:lastPrinted>2014-04-16T13:46:00Z</cp:lastPrinted>
  <dcterms:created xsi:type="dcterms:W3CDTF">2012-10-01T11:33:00Z</dcterms:created>
  <dcterms:modified xsi:type="dcterms:W3CDTF">2018-08-20T12:33:00Z</dcterms:modified>
</cp:coreProperties>
</file>